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center"/>
        <w:rPr>
          <w:b/>
          <w:bCs/>
          <w:color w:val="000000"/>
          <w:szCs w:val="22"/>
        </w:rPr>
      </w:pPr>
      <w:r>
        <w:rPr>
          <w:b/>
          <w:bCs/>
          <w:color w:val="000000"/>
          <w:szCs w:val="22"/>
        </w:rPr>
        <w:t>BHP BILLITON LTD.</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This Guaranty (this “Guaranty”), dated effective as of January 1, 2001 (the “Effective Date”), is made and entered into by BHP BILLITON LTD., an Australian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BHP COPPER, INC., a wholly owned subsidiary of Guarantor (“Counterparty”), and </w:t>
      </w:r>
      <w:r>
        <w:rPr>
          <w:caps/>
          <w:sz w:val="22"/>
          <w:szCs w:val="22"/>
        </w:rPr>
        <w:t>Enron NORTH AMERICA CORP.</w:t>
      </w:r>
      <w:r>
        <w:rPr>
          <w:sz w:val="22"/>
          <w:szCs w:val="22"/>
        </w:rPr>
        <w:t xml:space="preserve">, a Delaware corporation (“Enron”), are contemplating entering into, or have entered into, one or more transactions (collectively the “Transaction”) related to the purchase, sale, and/or exchange of natural gas, petrochemicals, crude oil and related products, natural gas liquids, MTBE, propane, methanol and other clean fuel products, or other petroleum-related products, which transactions will be evidenced by one or more agreements, confirmations and/or master agreements;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Transaction,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Transaction.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Transaction (even if such payments are deemed to be damages) and, except to the extent specifically provided in the Transaction,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Transaction,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Australia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Transaction.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napToGrid w:val="false"/>
              <w:spacing w:lineRule="atLeast" w:line="240"/>
              <w:rPr>
                <w:sz w:val="22"/>
                <w:szCs w:val="22"/>
              </w:rPr>
            </w:pPr>
            <w:r>
              <w:rPr>
                <w:sz w:val="22"/>
                <w:szCs w:val="22"/>
              </w:rPr>
            </w:r>
          </w:p>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Manager,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646-5977</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BHP BILLITON LTD.</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rPr/>
      </w:pPr>
      <w:r>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Arial" w:hAnsi="Arial" w:cs="Arial"/>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2001-07-27T15:33:00Z</dcterms:created>
  <dc:creator>spanus</dc:creator>
  <dc:description/>
  <dc:language>en-CA</dc:language>
  <cp:lastModifiedBy>kward</cp:lastModifiedBy>
  <cp:lastPrinted>2001-07-26T10:18:00Z</cp:lastPrinted>
  <dcterms:modified xsi:type="dcterms:W3CDTF">2001-07-27T15:33:00Z</dcterms:modified>
  <cp:revision>2</cp:revision>
  <dc:subject/>
  <dc:title>GUARANTOR</dc:title>
</cp:coreProperties>
</file>