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Louise Kitchen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Jean Mrha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Tasks to Execute for Equity Sale in BHLP</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 xml:space="preserve">In anticipation of Enron’s objective to sell our forty percent equity interest in the Bridgeline Holdings Limited Partnership (BHLP), I have outlined the following potential items to be addressed: </w:t>
      </w:r>
    </w:p>
    <w:p>
      <w:pPr>
        <w:pStyle w:val="Body"/>
        <w:rPr/>
      </w:pPr>
      <w:r>
        <w:rPr/>
      </w:r>
    </w:p>
    <w:p>
      <w:pPr>
        <w:pStyle w:val="Body"/>
        <w:numPr>
          <w:ilvl w:val="0"/>
          <w:numId w:val="2"/>
        </w:numPr>
        <w:rPr/>
      </w:pPr>
      <w:r>
        <w:rPr/>
        <w:t xml:space="preserve">Reach BHLP’s  2001 EBITDA target of $56 million.  </w:t>
      </w:r>
    </w:p>
    <w:p>
      <w:pPr>
        <w:pStyle w:val="Body"/>
        <w:numPr>
          <w:ilvl w:val="1"/>
          <w:numId w:val="2"/>
        </w:numPr>
        <w:rPr/>
      </w:pPr>
      <w:r>
        <w:rPr/>
        <w:t>This commercial objective must be met in order to set a second year successfully attaining earnings goals.</w:t>
      </w:r>
    </w:p>
    <w:p>
      <w:pPr>
        <w:pStyle w:val="Body"/>
        <w:numPr>
          <w:ilvl w:val="1"/>
          <w:numId w:val="2"/>
        </w:numPr>
        <w:rPr/>
      </w:pPr>
      <w:r>
        <w:rPr/>
        <w:t>A separate legal organization under the BHLP umbrella must be formulated to extract all true market-to-market earning potential from existing storage capacity as well as from off-system transactions.  This entity would satisfy FAS 9810 and not violate the FAS 121 ruling (i.e., deals would not be taken from the pipelines that ultimately would impair existing assets).</w:t>
      </w:r>
    </w:p>
    <w:p>
      <w:pPr>
        <w:pStyle w:val="Body"/>
        <w:numPr>
          <w:ilvl w:val="1"/>
          <w:numId w:val="2"/>
        </w:numPr>
        <w:rPr/>
      </w:pPr>
      <w:r>
        <w:rPr/>
        <w:t>Bridgeline Gas Marketing (the accrual mechanism) must show consistent earnings streams and illustrate non-impairment of the assets (most importantly, LRC and Bridgeline).</w:t>
      </w:r>
    </w:p>
    <w:p>
      <w:pPr>
        <w:pStyle w:val="Body"/>
        <w:numPr>
          <w:ilvl w:val="1"/>
          <w:numId w:val="2"/>
        </w:numPr>
        <w:rPr/>
      </w:pPr>
      <w:r>
        <w:rPr/>
        <w:t xml:space="preserve">The origination organization of BHLP under Hugh Connett is near closing four transactions, some which have MTM potential.  </w:t>
      </w:r>
    </w:p>
    <w:p>
      <w:pPr>
        <w:pStyle w:val="Body"/>
        <w:numPr>
          <w:ilvl w:val="1"/>
          <w:numId w:val="2"/>
        </w:numPr>
        <w:rPr/>
      </w:pPr>
      <w:r>
        <w:rPr/>
        <w:t>Arthur Anderson should be hired to setup the separate, but appropriate trading and marketing organization regulating all MTM transactions to this entity.  Cris Sherman may be brought in as a hired consultant to work with Arthur Anderson and Trevor Milhalik, CFO, BHLP.</w:t>
      </w:r>
    </w:p>
    <w:p>
      <w:pPr>
        <w:pStyle w:val="Body"/>
        <w:numPr>
          <w:ilvl w:val="0"/>
          <w:numId w:val="2"/>
        </w:numPr>
        <w:rPr/>
      </w:pPr>
      <w:r>
        <w:rPr/>
        <w:t>Within BHLP, setup the following:</w:t>
      </w:r>
    </w:p>
    <w:p>
      <w:pPr>
        <w:pStyle w:val="Body"/>
        <w:numPr>
          <w:ilvl w:val="1"/>
          <w:numId w:val="2"/>
        </w:numPr>
        <w:rPr/>
      </w:pPr>
      <w:r>
        <w:rPr/>
        <w:t>All current and future employees of BHLP are no longer seconded from parent companies and exist as Bridgeline employees.</w:t>
      </w:r>
    </w:p>
    <w:p>
      <w:pPr>
        <w:pStyle w:val="Body"/>
        <w:numPr>
          <w:ilvl w:val="1"/>
          <w:numId w:val="2"/>
        </w:numPr>
        <w:rPr/>
      </w:pPr>
      <w:r>
        <w:rPr/>
        <w:t>Bridgeline employees have their own Bridgeline benefit and compensation plan.</w:t>
      </w:r>
    </w:p>
    <w:p>
      <w:pPr>
        <w:pStyle w:val="Body"/>
        <w:numPr>
          <w:ilvl w:val="1"/>
          <w:numId w:val="2"/>
        </w:numPr>
        <w:rPr/>
      </w:pPr>
      <w:r>
        <w:rPr/>
        <w:t>A human resource representative is hired to represent the interests of BHLP.</w:t>
      </w:r>
    </w:p>
    <w:p>
      <w:pPr>
        <w:pStyle w:val="Body"/>
        <w:numPr>
          <w:ilvl w:val="1"/>
          <w:numId w:val="2"/>
        </w:numPr>
        <w:rPr/>
      </w:pPr>
      <w:r>
        <w:rPr/>
        <w:t>An appropriate compensation plan for 2001 is adopted by the BHLP board, which reflects the interests of Bridgeline employees and appropriate EBITDA targets. (The 2001 EBITDA target should be raised if significant MTM exists from prior, existing transactions that satisfy FAS9810.)</w:t>
      </w:r>
    </w:p>
    <w:p>
      <w:pPr>
        <w:pStyle w:val="Body"/>
        <w:numPr>
          <w:ilvl w:val="0"/>
          <w:numId w:val="2"/>
        </w:numPr>
        <w:rPr/>
      </w:pPr>
      <w:r>
        <w:rPr/>
        <w:t>Aggregate and identify all outsourcing arrangements between BHLP and Enron that could exist after a potential sale of equity interest.  Assess upside or potential liabilities to ENA.</w:t>
      </w:r>
    </w:p>
    <w:p>
      <w:pPr>
        <w:pStyle w:val="Body"/>
        <w:numPr>
          <w:ilvl w:val="1"/>
          <w:numId w:val="2"/>
        </w:numPr>
        <w:rPr/>
      </w:pPr>
      <w:r>
        <w:rPr/>
        <w:t xml:space="preserve">All IT is sourced by Enron.  BHLP is using our back office system for risk management reports, DPR and P&amp;L reporting.  In addition, BHLP is using </w:t>
      </w:r>
      <w:r>
        <w:rPr>
          <w:b/>
          <w:bCs/>
        </w:rPr>
        <w:t>ENA’s proprietary forward curves</w:t>
      </w:r>
      <w:r>
        <w:rPr/>
        <w:t xml:space="preserve"> for appropriate basis, index, futures and options pricing.  </w:t>
      </w:r>
    </w:p>
    <w:p>
      <w:pPr>
        <w:pStyle w:val="Body"/>
        <w:numPr>
          <w:ilvl w:val="1"/>
          <w:numId w:val="2"/>
        </w:numPr>
        <w:rPr/>
      </w:pPr>
      <w:r>
        <w:rPr/>
        <w:t>Enron sources most of the human resource functions for BHLP.  Jeanie Slone has a copy of the latest outsourcing agreement.</w:t>
      </w:r>
    </w:p>
    <w:p>
      <w:pPr>
        <w:pStyle w:val="Body"/>
        <w:numPr>
          <w:ilvl w:val="1"/>
          <w:numId w:val="2"/>
        </w:numPr>
        <w:rPr/>
      </w:pPr>
      <w:r>
        <w:rPr/>
        <w:t>All credit and VAR analysis is being source by Corporate RAC/ Global Credit organization under Rick Buy.</w:t>
      </w:r>
    </w:p>
    <w:p>
      <w:pPr>
        <w:pStyle w:val="Body"/>
        <w:numPr>
          <w:ilvl w:val="0"/>
          <w:numId w:val="2"/>
        </w:numPr>
        <w:rPr/>
      </w:pPr>
      <w:r>
        <w:rPr/>
        <w:t xml:space="preserve">Identify in detail all balance sheet items attributable to BHLP that reside within ENA.  </w:t>
      </w:r>
    </w:p>
    <w:p>
      <w:pPr>
        <w:pStyle w:val="Body"/>
        <w:numPr>
          <w:ilvl w:val="1"/>
          <w:numId w:val="2"/>
        </w:numPr>
        <w:rPr/>
      </w:pPr>
      <w:r>
        <w:rPr/>
        <w:t>Revisit prior exist tax structure associated with LRC.</w:t>
      </w:r>
    </w:p>
    <w:p>
      <w:pPr>
        <w:pStyle w:val="Body"/>
        <w:numPr>
          <w:ilvl w:val="0"/>
          <w:numId w:val="2"/>
        </w:numPr>
        <w:rPr/>
      </w:pPr>
      <w:r>
        <w:rPr/>
        <w:t>Approach Chevron/Texaco about accelerating the date of potential sale of ENA’s equity interest in BHLP.</w:t>
      </w:r>
    </w:p>
    <w:p>
      <w:pPr>
        <w:pStyle w:val="Body"/>
        <w:numPr>
          <w:ilvl w:val="1"/>
          <w:numId w:val="2"/>
        </w:numPr>
        <w:rPr/>
      </w:pPr>
      <w:r>
        <w:rPr/>
        <w:t>Would Chevron be interested in ENA’s forty percent? If not,</w:t>
      </w:r>
    </w:p>
    <w:p>
      <w:pPr>
        <w:pStyle w:val="Body"/>
        <w:numPr>
          <w:ilvl w:val="1"/>
          <w:numId w:val="2"/>
        </w:numPr>
        <w:rPr/>
      </w:pPr>
      <w:r>
        <w:rPr/>
        <w:t>Would Chevron be interested in a joint (Chevron/Enron) partnership to liquidate BHLP to an outside counterparty?</w:t>
      </w:r>
    </w:p>
    <w:p>
      <w:pPr>
        <w:pStyle w:val="Body"/>
        <w:ind w:start="1152" w:end="0"/>
        <w:rPr/>
      </w:pPr>
      <w:r>
        <w:rPr/>
      </w:r>
    </w:p>
    <w:p>
      <w:pPr>
        <w:pStyle w:val="CopyList"/>
        <w:rPr/>
      </w:pPr>
      <w:r>
        <w:rPr/>
        <w:t>CC:  Brian Redmond</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lvl w:ilvl="1">
      <w:start w:val="1"/>
      <w:numFmt w:val="bullet"/>
      <w:lvlText w:val="o"/>
      <w:lvlJc w:val="start"/>
      <w:pPr>
        <w:tabs>
          <w:tab w:val="num" w:pos="1512"/>
        </w:tabs>
        <w:ind w:start="1512" w:hanging="360"/>
      </w:pPr>
      <w:rPr>
        <w:rFonts w:ascii="Courier New" w:hAnsi="Courier New" w:cs="Courier New" w:hint="default"/>
      </w:rPr>
    </w:lvl>
    <w:lvl w:ilvl="2">
      <w:start w:val="1"/>
      <w:numFmt w:val="bullet"/>
      <w:lvlText w:val=""/>
      <w:lvlJc w:val="start"/>
      <w:pPr>
        <w:tabs>
          <w:tab w:val="num" w:pos="2232"/>
        </w:tabs>
        <w:ind w:start="2232" w:hanging="360"/>
      </w:pPr>
      <w:rPr>
        <w:rFonts w:ascii="Wingdings" w:hAnsi="Wingdings" w:cs="Wingdings" w:hint="default"/>
      </w:rPr>
    </w:lvl>
    <w:lvl w:ilvl="3">
      <w:start w:val="1"/>
      <w:numFmt w:val="bullet"/>
      <w:lvlText w:val=""/>
      <w:lvlJc w:val="start"/>
      <w:pPr>
        <w:tabs>
          <w:tab w:val="num" w:pos="2952"/>
        </w:tabs>
        <w:ind w:start="2952" w:hanging="360"/>
      </w:pPr>
      <w:rPr>
        <w:rFonts w:ascii="Symbol" w:hAnsi="Symbol" w:cs="Symbol" w:hint="default"/>
      </w:rPr>
    </w:lvl>
    <w:lvl w:ilvl="4">
      <w:start w:val="1"/>
      <w:numFmt w:val="bullet"/>
      <w:lvlText w:val="o"/>
      <w:lvlJc w:val="start"/>
      <w:pPr>
        <w:tabs>
          <w:tab w:val="num" w:pos="3672"/>
        </w:tabs>
        <w:ind w:start="3672" w:hanging="360"/>
      </w:pPr>
      <w:rPr>
        <w:rFonts w:ascii="Courier New" w:hAnsi="Courier New" w:cs="Courier New" w:hint="default"/>
      </w:rPr>
    </w:lvl>
    <w:lvl w:ilvl="5">
      <w:start w:val="1"/>
      <w:numFmt w:val="bullet"/>
      <w:lvlText w:val=""/>
      <w:lvlJc w:val="start"/>
      <w:pPr>
        <w:tabs>
          <w:tab w:val="num" w:pos="4392"/>
        </w:tabs>
        <w:ind w:start="4392" w:hanging="360"/>
      </w:pPr>
      <w:rPr>
        <w:rFonts w:ascii="Wingdings" w:hAnsi="Wingdings" w:cs="Wingdings" w:hint="default"/>
      </w:rPr>
    </w:lvl>
    <w:lvl w:ilvl="6">
      <w:start w:val="1"/>
      <w:numFmt w:val="bullet"/>
      <w:lvlText w:val=""/>
      <w:lvlJc w:val="start"/>
      <w:pPr>
        <w:tabs>
          <w:tab w:val="num" w:pos="5112"/>
        </w:tabs>
        <w:ind w:start="5112" w:hanging="360"/>
      </w:pPr>
      <w:rPr>
        <w:rFonts w:ascii="Symbol" w:hAnsi="Symbol" w:cs="Symbol" w:hint="default"/>
      </w:rPr>
    </w:lvl>
    <w:lvl w:ilvl="7">
      <w:start w:val="1"/>
      <w:numFmt w:val="bullet"/>
      <w:lvlText w:val="o"/>
      <w:lvlJc w:val="start"/>
      <w:pPr>
        <w:tabs>
          <w:tab w:val="num" w:pos="5832"/>
        </w:tabs>
        <w:ind w:start="5832" w:hanging="360"/>
      </w:pPr>
      <w:rPr>
        <w:rFonts w:ascii="Courier New" w:hAnsi="Courier New" w:cs="Courier New" w:hint="default"/>
      </w:rPr>
    </w:lvl>
    <w:lvl w:ilvl="8">
      <w:start w:val="1"/>
      <w:numFmt w:val="bullet"/>
      <w:lvlText w:val=""/>
      <w:lvlJc w:val="start"/>
      <w:pPr>
        <w:tabs>
          <w:tab w:val="num" w:pos="6552"/>
        </w:tabs>
        <w:ind w:start="6552"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2001-07-02T16:46:00Z</dcterms:created>
  <dc:creator>jmrha</dc:creator>
  <dc:description/>
  <dc:language>en-CA</dc:language>
  <cp:lastModifiedBy>jmrha</cp:lastModifiedBy>
  <dcterms:modified xsi:type="dcterms:W3CDTF">2001-07-02T17:29:00Z</dcterms:modified>
  <cp:revision>3</cp:revision>
  <dc:subject/>
  <dc:title>Better, Faster, Simpler Memo </dc:title>
</cp:coreProperties>
</file>