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March 1, 2000,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HESS ENERGY TRADING COMPANY, LLC, a Delaware limited liability company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and/or this Guaranty (even if such payments are deemed to be damages) and, except to the extent specifically provided in the Contract, in no event shall Guarantor be subject hereunder to consequential, exemplary, equitable, loss of profits, punitive, or tort losses or damages.  The Guarantor, upon demand, will reimburse Counterparty for reasonable attorney fees necessarily incurred by Counterparty in any successful action by Counterparty for collection of payments or enforcement of performance hereunder.</w:t>
      </w:r>
    </w:p>
    <w:p>
      <w:pPr>
        <w:pStyle w:val="BodyTextIndent3"/>
        <w:spacing w:lineRule="exact" w:line="240" w:before="240" w:after="0"/>
        <w:rPr/>
      </w:pPr>
      <w:r>
        <w:rPr/>
        <w:t>(b)  The aggregate amount covered by this Guaranty shall not exceed U.S. $2,500,000.00, including attorney fees as provided in Section 2(a) above.</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 failure to pay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failure to pay during the continuance of such failure to pay, until BMC or Guarantor has cured such failure to pay, and additional written demands concerning such failure to pay shall not be required until such failure to pay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No such termination shall be effective until five (5) Business Days after receipt by Counterparty of such termination notice.  It is understood, however, that notwithstanding any such termination taking effect, this Guaranty shall continue in full force and effect with respect to all obligations guaranteed hereunder (i) which have been incurred prior to such termination and (ii) which have been incurred after such termination pursuant to any transactions entered into by BMC prior to such termination.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186" w:type="dxa"/>
        <w:jc w:val="start"/>
        <w:tblInd w:w="0" w:type="dxa"/>
        <w:tblLayout w:type="fixed"/>
        <w:tblCellMar>
          <w:top w:w="0" w:type="dxa"/>
          <w:start w:w="108" w:type="dxa"/>
          <w:bottom w:w="0" w:type="dxa"/>
          <w:end w:w="108" w:type="dxa"/>
        </w:tblCellMar>
      </w:tblPr>
      <w:tblGrid>
        <w:gridCol w:w="1908"/>
        <w:gridCol w:w="3600"/>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600" w:type="dxa"/>
            <w:tcBorders/>
          </w:tcPr>
          <w:p>
            <w:pPr>
              <w:pStyle w:val="Normal"/>
              <w:keepNext w:val="true"/>
              <w:keepLines/>
              <w:tabs>
                <w:tab w:val="clear" w:pos="720"/>
                <w:tab w:val="left" w:pos="3132" w:leader="none"/>
              </w:tabs>
              <w:spacing w:lineRule="atLeast" w:line="240"/>
              <w:rPr>
                <w:color w:val="000000"/>
                <w:sz w:val="22"/>
              </w:rPr>
            </w:pPr>
            <w:r>
              <w:rPr>
                <w:color w:val="000000"/>
                <w:sz w:val="22"/>
              </w:rPr>
              <w:t>Hess Energy Trading Company, LLC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tcBorders/>
          </w:tcPr>
          <w:p>
            <w:pPr>
              <w:pStyle w:val="Normal"/>
              <w:keepNext w:val="true"/>
              <w:keepLines/>
              <w:tabs>
                <w:tab w:val="clear" w:pos="720"/>
                <w:tab w:val="left" w:pos="3132" w:leader="none"/>
              </w:tabs>
              <w:spacing w:lineRule="atLeast" w:line="240"/>
              <w:rPr>
                <w:color w:val="000000"/>
                <w:sz w:val="22"/>
              </w:rPr>
            </w:pPr>
            <w:r>
              <w:rPr>
                <w:color w:val="000000"/>
                <w:sz w:val="22"/>
              </w:rPr>
              <w:t>1185 Avenue of the Americas</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10036</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  Dana Dellacona</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Notwithstanding the foregoing, Guarantor may not assign this Guaranty without Counterparty’s written consent, which consent shall not be unreasonably withheld.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January_____,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2001-01-04T17:10:00Z</dcterms:created>
  <dc:creator>tjones</dc:creator>
  <dc:description/>
  <dc:language>en-CA</dc:language>
  <cp:lastModifiedBy>gnemec</cp:lastModifiedBy>
  <cp:lastPrinted>2000-03-21T09:58:00Z</cp:lastPrinted>
  <dcterms:modified xsi:type="dcterms:W3CDTF">2001-01-04T17:10:00Z</dcterms:modified>
  <cp:revision>2</cp:revision>
  <dc:subject/>
  <dc:title>EXHIBIT A</dc:title>
</cp:coreProperties>
</file>