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February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Brian Redmond (EB3566) and Jean Mrha (EB3569),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Attached is an amendment request for an existing Bridgeline Holdings, LP guaranty.  All guaranties and/or amendments in excess of $10MM require both Enron and Texaco board signatures.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sign in the appropriate space and forward to either (i) your fellow board member or to (ii) me at the location identified below.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  <w:t>Brant Reves (EB2860b)</w:t>
      </w:r>
    </w:p>
    <w:p>
      <w:pPr>
        <w:pStyle w:val="Normal"/>
        <w:rPr>
          <w:sz w:val="24"/>
        </w:rPr>
      </w:pPr>
      <w:r>
        <w:rPr>
          <w:sz w:val="24"/>
        </w:rPr>
        <w:t>Sr. Credit Analyst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2000-10-06T17:49:00Z</dcterms:created>
  <dc:creator>brant reves</dc:creator>
  <dc:description/>
  <dc:language>en-CA</dc:language>
  <cp:lastModifiedBy>brant reves</cp:lastModifiedBy>
  <cp:lastPrinted>2000-10-06T14:28:00Z</cp:lastPrinted>
  <dcterms:modified xsi:type="dcterms:W3CDTF">2001-02-14T17:32:00Z</dcterms:modified>
  <cp:revision>3</cp:revision>
  <dc:subject/>
  <dc:title>BGML Board Members,</dc:title>
</cp:coreProperties>
</file>