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November 14, 2001,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Sequent Energy Management, L.P., a Georgia limited partnership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$6,000,000.00.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 xml:space="preserve">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  In the event that any payment of BMC in respect of any Contract is rescinded or recovered from Counterparty as a preference on fraudulent transfer or otherwise under the Federal Bankruptcy Code, or any applicable state law, Guarantor shall remain liable hereunder in respect to such Contract, as if such payment had not been made, regardless of whether this Guaranty had otherwise been terminated.  </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sz w:val="22"/>
              </w:rPr>
              <w:t>Sequent Energy Management, L.P.</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1000 Louisiana, Suite 1975</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Texas 77002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(832) 397-1709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The undersigned Corporation represents that it has the full right, power and authority to sign this Guaranty, and that this Guaranty is enforceable against it in accordance with its terms.</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November 14,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2001-11-15T17:34:00Z</dcterms:created>
  <dc:creator>tjones</dc:creator>
  <dc:description/>
  <dc:language>en-CA</dc:language>
  <cp:lastModifiedBy>gnemec</cp:lastModifiedBy>
  <cp:lastPrinted>2001-09-19T10:57:00Z</cp:lastPrinted>
  <dcterms:modified xsi:type="dcterms:W3CDTF">2001-11-15T17:34:00Z</dcterms:modified>
  <cp:revision>2</cp:revision>
  <dc:subject/>
  <dc:title>EXHIBIT A</dc:title>
</cp:coreProperties>
</file>