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t>SCHEDULE DS</w:t>
      </w:r>
    </w:p>
    <w:p>
      <w:pPr>
        <w:pStyle w:val="Heading1"/>
        <w:ind w:hanging="0" w:start="0"/>
        <w:rPr>
          <w:sz w:val="24"/>
        </w:rPr>
      </w:pPr>
      <w:r>
        <w:rPr>
          <w:sz w:val="24"/>
        </w:rPr>
        <w:t>DEFAULT SERVICE – ELECTRIC</w:t>
      </w:r>
    </w:p>
    <w:p>
      <w:pPr>
        <w:pStyle w:val="Normal"/>
        <w:jc w:val="center"/>
        <w:rPr>
          <w:sz w:val="16"/>
        </w:rPr>
      </w:pPr>
      <w:r>
        <w:rPr>
          <w:sz w:val="16"/>
        </w:rPr>
      </w:r>
    </w:p>
    <w:p>
      <w:pPr>
        <w:pStyle w:val="Normal"/>
        <w:ind w:hanging="173" w:start="173" w:end="0"/>
        <w:rPr/>
      </w:pPr>
      <w:r>
        <w:rPr>
          <w:b/>
          <w:sz w:val="24"/>
        </w:rPr>
        <w:t xml:space="preserve">Availability:  </w:t>
      </w:r>
      <w:r>
        <w:rPr>
          <w:sz w:val="22"/>
        </w:rPr>
        <w:t>Schedule DS is an electric supply service that shall be applied to those non-residential Customers who are not Price Freeze Service Customers and who:</w:t>
      </w:r>
    </w:p>
    <w:p>
      <w:pPr>
        <w:pStyle w:val="Normal"/>
        <w:numPr>
          <w:ilvl w:val="0"/>
          <w:numId w:val="3"/>
        </w:numPr>
        <w:rPr>
          <w:sz w:val="22"/>
        </w:rPr>
      </w:pPr>
      <w:r>
        <w:rPr>
          <w:sz w:val="22"/>
        </w:rPr>
        <w:t>contract for electricity with an electricity supplier and it is not delivered;</w:t>
      </w:r>
    </w:p>
    <w:p>
      <w:pPr>
        <w:pStyle w:val="Normal"/>
        <w:numPr>
          <w:ilvl w:val="0"/>
          <w:numId w:val="3"/>
        </w:numPr>
        <w:rPr>
          <w:sz w:val="22"/>
        </w:rPr>
      </w:pPr>
      <w:r>
        <w:rPr>
          <w:sz w:val="22"/>
        </w:rPr>
        <w:t>cannot arrange for electricity from an electricity supplier;</w:t>
      </w:r>
    </w:p>
    <w:p>
      <w:pPr>
        <w:pStyle w:val="Normal"/>
        <w:numPr>
          <w:ilvl w:val="0"/>
          <w:numId w:val="3"/>
        </w:numPr>
        <w:rPr>
          <w:sz w:val="22"/>
        </w:rPr>
      </w:pPr>
      <w:r>
        <w:rPr>
          <w:sz w:val="22"/>
        </w:rPr>
        <w:t>do not choose an electricity supplier; or</w:t>
      </w:r>
    </w:p>
    <w:p>
      <w:pPr>
        <w:pStyle w:val="Normal"/>
        <w:numPr>
          <w:ilvl w:val="0"/>
          <w:numId w:val="3"/>
        </w:numPr>
        <w:rPr>
          <w:sz w:val="22"/>
        </w:rPr>
      </w:pPr>
      <w:r>
        <w:rPr>
          <w:sz w:val="22"/>
        </w:rPr>
        <w:t>have been denied service or referred to Default Service by an electricity supplier.</w:t>
      </w:r>
    </w:p>
    <w:p>
      <w:pPr>
        <w:pStyle w:val="Normal"/>
        <w:ind w:start="346" w:end="0"/>
        <w:rPr>
          <w:sz w:val="22"/>
        </w:rPr>
      </w:pPr>
      <w:r>
        <w:rPr>
          <w:sz w:val="22"/>
        </w:rPr>
        <w:t>Schedule DS shall also be applied to the supply of electricity to generating stations that are not otherwise eligible for the treatment of the electricity supply received as a PJM Interchange transaction and where the generating station is not otherwise receiving service from an electricity supplier.  Metering equipment suitable to the Company must be installed at the generating station at the expense of the Customer.</w:t>
      </w:r>
    </w:p>
    <w:p>
      <w:pPr>
        <w:pStyle w:val="Normal"/>
        <w:rPr>
          <w:b/>
          <w:sz w:val="16"/>
        </w:rPr>
      </w:pPr>
      <w:r>
        <w:rPr>
          <w:b/>
          <w:sz w:val="16"/>
        </w:rPr>
      </w:r>
    </w:p>
    <w:p>
      <w:pPr>
        <w:pStyle w:val="Normal"/>
        <w:rPr/>
      </w:pPr>
      <w:r>
        <w:rPr>
          <w:b/>
          <w:sz w:val="24"/>
        </w:rPr>
        <w:t>Delivery Voltage:</w:t>
      </w:r>
      <w:r>
        <w:rPr>
          <w:b/>
          <w:sz w:val="28"/>
        </w:rPr>
        <w:t xml:space="preserve"> </w:t>
      </w:r>
      <w:r>
        <w:rPr>
          <w:sz w:val="22"/>
        </w:rPr>
        <w:t>Service at Secondary or Primary Systems voltages.</w:t>
      </w:r>
    </w:p>
    <w:p>
      <w:pPr>
        <w:pStyle w:val="BodyText"/>
        <w:rPr>
          <w:sz w:val="16"/>
        </w:rPr>
      </w:pPr>
      <w:r>
        <w:rPr>
          <w:sz w:val="16"/>
        </w:rPr>
      </w:r>
    </w:p>
    <w:p>
      <w:pPr>
        <w:pStyle w:val="BodyText"/>
        <w:rPr>
          <w:sz w:val="22"/>
        </w:rPr>
      </w:pPr>
      <w:r>
        <w:rPr>
          <w:sz w:val="24"/>
        </w:rPr>
        <w:t>Minimum Charge:</w:t>
      </w:r>
      <w:r>
        <w:rPr>
          <w:b w:val="false"/>
          <w:sz w:val="28"/>
        </w:rPr>
        <w:t xml:space="preserve"> </w:t>
      </w:r>
      <w:r>
        <w:rPr>
          <w:b w:val="false"/>
          <w:sz w:val="22"/>
        </w:rPr>
        <w:t>The Minimum Charge under the Controlling Schedule.</w:t>
      </w:r>
    </w:p>
    <w:p>
      <w:pPr>
        <w:pStyle w:val="Normal"/>
        <w:ind w:hanging="173" w:start="173" w:end="0"/>
        <w:jc w:val="both"/>
        <w:rPr>
          <w:b/>
          <w:sz w:val="16"/>
        </w:rPr>
      </w:pPr>
      <w:r>
        <w:rPr>
          <w:b/>
          <w:sz w:val="16"/>
        </w:rPr>
      </w:r>
    </w:p>
    <w:p>
      <w:pPr>
        <w:pStyle w:val="Normal"/>
        <w:ind w:hanging="173" w:start="173" w:end="0"/>
        <w:jc w:val="both"/>
        <w:rPr/>
      </w:pPr>
      <w:r>
        <w:rPr>
          <w:b/>
          <w:sz w:val="24"/>
        </w:rPr>
        <w:t xml:space="preserve">Monthly Net Rates: </w:t>
      </w:r>
      <w:r>
        <w:rPr>
          <w:sz w:val="22"/>
        </w:rPr>
        <w:t xml:space="preserve">Default Service is electric supply provided by BGE at formula prices referenced below.  The formulas are subject to change at any time, as PJM rules or market parameters change. The Company will immediately provide notification to the Commission of formula changes and any such changes are subject to Commission review.  The Company will update Schedule DS accordingly when the Commission accepts such revised formulas for filing.  The Schedule DS charge recovers PJM market costs, as may change or be redefined from time to time, and includes, but is not limited to, energy, capacity, network integrated transmission service, regulation, operating reserves, reactive supply and voltage control, scheduling and dispatch service.  The Default Service charge also includes a fixed retail adder per kWh and all applicable taxes. The Controlling Schedule selected CTC option (or, where applicable, the standard CTC option) and Delivery Service charges will apply.  The floor price for Schedule DS is the applicable Price Freeze Service rate. Below are the additive electric supply components of the cost to serve, excluding taxes.  </w:t>
      </w:r>
    </w:p>
    <w:p>
      <w:pPr>
        <w:pStyle w:val="Normal"/>
        <w:ind w:firstLine="173" w:start="173" w:end="0"/>
        <w:rPr>
          <w:sz w:val="16"/>
        </w:rPr>
      </w:pPr>
      <w:r>
        <w:rPr>
          <w:sz w:val="16"/>
        </w:rPr>
      </w:r>
    </w:p>
    <w:p>
      <w:pPr>
        <w:pStyle w:val="Heading1"/>
        <w:tabs>
          <w:tab w:val="clear" w:pos="173"/>
          <w:tab w:val="left" w:pos="360" w:leader="none"/>
        </w:tabs>
        <w:ind w:hanging="360" w:start="360" w:end="0"/>
        <w:jc w:val="both"/>
        <w:rPr/>
      </w:pPr>
      <w:r>
        <w:rPr>
          <w:sz w:val="24"/>
        </w:rPr>
        <w:t xml:space="preserve">Energy:  </w:t>
      </w:r>
      <w:r>
        <w:rPr>
          <w:b w:val="false"/>
          <w:sz w:val="22"/>
        </w:rPr>
        <w:t xml:space="preserve">The actual cost of the energy component is the sum of a Customer's hourly loads, adjusted for losses, multiplied by the Baltimore Zone Locational Marginal Price (LMP). </w:t>
      </w:r>
    </w:p>
    <w:p>
      <w:pPr>
        <w:pStyle w:val="Normal"/>
        <w:ind w:start="720" w:end="0"/>
        <w:rPr>
          <w:b/>
          <w:sz w:val="22"/>
        </w:rPr>
      </w:pPr>
      <w:r>
        <w:rPr>
          <w:b/>
          <w:sz w:val="22"/>
        </w:rPr>
      </w:r>
    </w:p>
    <w:p>
      <w:pPr>
        <w:pStyle w:val="Normal"/>
        <w:ind w:start="720" w:end="0"/>
        <w:rPr/>
      </w:pPr>
      <w:r>
        <w:rPr>
          <w:sz w:val="22"/>
        </w:rPr>
        <w:t xml:space="preserve">For Customers </w:t>
      </w:r>
      <w:r>
        <w:rPr>
          <w:b/>
          <w:sz w:val="22"/>
        </w:rPr>
        <w:t>with</w:t>
      </w:r>
      <w:r>
        <w:rPr>
          <w:sz w:val="22"/>
        </w:rPr>
        <w:t xml:space="preserve"> hourly meters, the rate shall be calculated as:</w:t>
      </w:r>
    </w:p>
    <w:p>
      <w:pPr>
        <w:pStyle w:val="Normal"/>
        <w:ind w:start="720" w:end="0"/>
        <w:rPr/>
      </w:pPr>
      <w:r>
        <w:rPr>
          <w:b/>
          <w:sz w:val="24"/>
        </w:rPr>
        <w:t>EC</w:t>
      </w:r>
      <w:r>
        <w:rPr>
          <w:b/>
          <w:sz w:val="32"/>
          <w:vertAlign w:val="subscript"/>
        </w:rPr>
        <w:t>cl</w:t>
      </w:r>
      <w:r>
        <w:rPr>
          <w:b/>
          <w:sz w:val="32"/>
        </w:rPr>
        <w:t xml:space="preserve"> </w:t>
      </w:r>
      <w:r>
        <w:rPr>
          <w:b/>
          <w:sz w:val="24"/>
        </w:rPr>
        <w:t>= [</w:t>
      </w:r>
      <w:r>
        <w:rPr>
          <w:rFonts w:eastAsia="Symbol" w:cs="Symbol" w:ascii="Symbol" w:hAnsi="Symbol"/>
          <w:b/>
          <w:sz w:val="24"/>
        </w:rPr>
        <w:sym w:font="Symbol" w:char="f053"/>
      </w:r>
      <w:r>
        <w:rPr>
          <w:b/>
          <w:sz w:val="24"/>
        </w:rPr>
        <w:t xml:space="preserve"> (LMP</w:t>
      </w:r>
      <w:r>
        <w:rPr>
          <w:b/>
          <w:sz w:val="32"/>
          <w:vertAlign w:val="subscript"/>
        </w:rPr>
        <w:t>h</w:t>
      </w:r>
      <w:r>
        <w:rPr>
          <w:b/>
          <w:sz w:val="24"/>
        </w:rPr>
        <w:t>*L</w:t>
      </w:r>
      <w:r>
        <w:rPr>
          <w:b/>
          <w:sz w:val="32"/>
          <w:vertAlign w:val="subscript"/>
        </w:rPr>
        <w:t>ch</w:t>
      </w:r>
      <w:r>
        <w:rPr>
          <w:b/>
          <w:sz w:val="24"/>
        </w:rPr>
        <w:t>*LF</w:t>
      </w:r>
      <w:r>
        <w:rPr>
          <w:b/>
          <w:sz w:val="32"/>
          <w:vertAlign w:val="subscript"/>
        </w:rPr>
        <w:t>lh</w:t>
      </w:r>
      <w:r>
        <w:rPr>
          <w:b/>
          <w:sz w:val="24"/>
        </w:rPr>
        <w:t xml:space="preserve">)] </w:t>
      </w:r>
      <w:r>
        <w:rPr>
          <w:rFonts w:eastAsia="Symbol" w:cs="Symbol" w:ascii="Symbol" w:hAnsi="Symbol"/>
          <w:b/>
          <w:sz w:val="24"/>
        </w:rPr>
        <w:sym w:font="Symbol" w:char="f0b8"/>
      </w:r>
      <w:r>
        <w:rPr>
          <w:b/>
          <w:sz w:val="24"/>
        </w:rPr>
        <w:t xml:space="preserve"> </w:t>
      </w:r>
      <w:r>
        <w:rPr>
          <w:rFonts w:eastAsia="Symbol" w:cs="Symbol" w:ascii="Symbol" w:hAnsi="Symbol"/>
          <w:b/>
          <w:sz w:val="24"/>
        </w:rPr>
        <w:sym w:font="Symbol" w:char="f053"/>
      </w:r>
      <w:r>
        <w:rPr>
          <w:b/>
          <w:sz w:val="24"/>
        </w:rPr>
        <w:t>L</w:t>
      </w:r>
      <w:r>
        <w:rPr>
          <w:b/>
          <w:sz w:val="32"/>
          <w:vertAlign w:val="subscript"/>
        </w:rPr>
        <w:t>ch</w:t>
      </w:r>
    </w:p>
    <w:p>
      <w:pPr>
        <w:pStyle w:val="Normal"/>
        <w:ind w:start="720" w:end="0"/>
        <w:rPr>
          <w:b/>
          <w:sz w:val="16"/>
          <w:vertAlign w:val="subscript"/>
        </w:rPr>
      </w:pPr>
      <w:r>
        <w:rPr>
          <w:b/>
          <w:sz w:val="16"/>
          <w:vertAlign w:val="subscript"/>
        </w:rPr>
      </w:r>
    </w:p>
    <w:p>
      <w:pPr>
        <w:pStyle w:val="Normal"/>
        <w:ind w:start="865" w:end="0"/>
        <w:rPr>
          <w:sz w:val="22"/>
        </w:rPr>
      </w:pPr>
      <w:r>
        <w:rPr>
          <w:sz w:val="22"/>
        </w:rPr>
        <w:t>Where:</w:t>
      </w:r>
    </w:p>
    <w:p>
      <w:pPr>
        <w:pStyle w:val="Normal"/>
        <w:ind w:start="1038" w:end="0"/>
        <w:rPr/>
      </w:pPr>
      <w:r>
        <w:rPr>
          <w:sz w:val="22"/>
        </w:rPr>
        <w:t>EC</w:t>
      </w:r>
      <w:r>
        <w:rPr>
          <w:sz w:val="22"/>
          <w:vertAlign w:val="subscript"/>
        </w:rPr>
        <w:t xml:space="preserve">cl </w:t>
      </w:r>
      <w:r>
        <w:rPr>
          <w:sz w:val="22"/>
        </w:rPr>
        <w:t>= Energy Component for Customer c in loss class l</w:t>
      </w:r>
    </w:p>
    <w:p>
      <w:pPr>
        <w:pStyle w:val="Normal"/>
        <w:ind w:start="1038" w:end="0"/>
        <w:rPr/>
      </w:pPr>
      <w:r>
        <w:rPr>
          <w:sz w:val="22"/>
        </w:rPr>
        <w:t>LMP</w:t>
      </w:r>
      <w:r>
        <w:rPr>
          <w:sz w:val="22"/>
          <w:vertAlign w:val="subscript"/>
        </w:rPr>
        <w:t>h</w:t>
      </w:r>
      <w:r>
        <w:rPr>
          <w:sz w:val="22"/>
        </w:rPr>
        <w:t xml:space="preserve"> is the BGE zonal LMP for hour h</w:t>
      </w:r>
    </w:p>
    <w:p>
      <w:pPr>
        <w:pStyle w:val="Normal"/>
        <w:ind w:start="1038" w:end="0"/>
        <w:rPr/>
      </w:pPr>
      <w:r>
        <w:rPr>
          <w:sz w:val="22"/>
        </w:rPr>
        <w:t>L</w:t>
      </w:r>
      <w:r>
        <w:rPr>
          <w:sz w:val="22"/>
          <w:vertAlign w:val="subscript"/>
        </w:rPr>
        <w:t>ch</w:t>
      </w:r>
      <w:r>
        <w:rPr>
          <w:sz w:val="22"/>
        </w:rPr>
        <w:t xml:space="preserve"> = the load for Customer c integrated over hour h</w:t>
      </w:r>
    </w:p>
    <w:p>
      <w:pPr>
        <w:pStyle w:val="Normal"/>
        <w:ind w:start="1038" w:end="0"/>
        <w:rPr/>
      </w:pPr>
      <w:r>
        <w:rPr>
          <w:sz w:val="22"/>
        </w:rPr>
        <w:t>LF</w:t>
      </w:r>
      <w:r>
        <w:rPr>
          <w:sz w:val="22"/>
          <w:vertAlign w:val="subscript"/>
        </w:rPr>
        <w:t>lh</w:t>
      </w:r>
      <w:r>
        <w:rPr>
          <w:sz w:val="22"/>
        </w:rPr>
        <w:t xml:space="preserve"> = the loss factor for loss class l in hour h </w:t>
      </w:r>
    </w:p>
    <w:p>
      <w:pPr>
        <w:pStyle w:val="Normal"/>
        <w:ind w:start="1038" w:end="0"/>
        <w:rPr>
          <w:sz w:val="22"/>
        </w:rPr>
      </w:pPr>
      <w:r>
        <w:rPr>
          <w:sz w:val="22"/>
        </w:rPr>
        <w:t>The summation is over the total hours in the billing period.</w:t>
      </w:r>
    </w:p>
    <w:p>
      <w:pPr>
        <w:pStyle w:val="Normal"/>
        <w:ind w:start="1038" w:end="0"/>
        <w:rPr>
          <w:sz w:val="16"/>
        </w:rPr>
      </w:pPr>
      <w:r>
        <w:rPr>
          <w:sz w:val="16"/>
        </w:rPr>
      </w:r>
    </w:p>
    <w:p>
      <w:pPr>
        <w:pStyle w:val="Normal"/>
        <w:spacing w:lineRule="exact" w:line="240" w:before="0" w:after="240"/>
        <w:jc w:val="center"/>
        <w:rPr/>
      </w:pPr>
      <w:r>
        <w:rPr>
          <w:sz w:val="22"/>
        </w:rPr>
        <w:t xml:space="preserve">For Customers </w:t>
      </w:r>
      <w:r>
        <w:rPr>
          <w:b/>
          <w:sz w:val="22"/>
        </w:rPr>
        <w:t>without</w:t>
      </w:r>
      <w:r>
        <w:rPr>
          <w:sz w:val="22"/>
        </w:rPr>
        <w:t xml:space="preserve"> hourly meters, the average customer load for the profile class will be used in place of the actual load (L</w:t>
      </w:r>
      <w:r>
        <w:rPr>
          <w:sz w:val="22"/>
          <w:vertAlign w:val="subscript"/>
        </w:rPr>
        <w:t>ch</w:t>
      </w:r>
      <w:r>
        <w:rPr>
          <w:sz w:val="22"/>
        </w:rPr>
        <w:t>). (Continued on Next Page)</w:t>
      </w:r>
    </w:p>
    <w:p>
      <w:pPr>
        <w:pStyle w:val="Normal"/>
        <w:ind w:start="720" w:end="0"/>
        <w:rPr>
          <w:sz w:val="22"/>
        </w:rPr>
      </w:pPr>
      <w:r>
        <w:rPr>
          <w:sz w:val="22"/>
        </w:rPr>
      </w:r>
    </w:p>
    <w:p>
      <w:pPr>
        <w:pStyle w:val="Heading2"/>
        <w:ind w:hanging="0" w:start="0"/>
        <w:rPr/>
      </w:pPr>
      <w:r>
        <w:rPr/>
        <w:t>Schedule DS continued</w:t>
      </w:r>
    </w:p>
    <w:p>
      <w:pPr>
        <w:pStyle w:val="Heading1"/>
        <w:tabs>
          <w:tab w:val="clear" w:pos="173"/>
          <w:tab w:val="left" w:pos="360" w:leader="none"/>
        </w:tabs>
        <w:ind w:hanging="360" w:start="360" w:end="0"/>
        <w:jc w:val="both"/>
        <w:rPr>
          <w:sz w:val="24"/>
        </w:rPr>
      </w:pPr>
      <w:r>
        <w:rPr>
          <w:sz w:val="24"/>
        </w:rPr>
      </w:r>
    </w:p>
    <w:p>
      <w:pPr>
        <w:pStyle w:val="Heading1"/>
        <w:tabs>
          <w:tab w:val="clear" w:pos="173"/>
          <w:tab w:val="left" w:pos="360" w:leader="none"/>
        </w:tabs>
        <w:ind w:hanging="360" w:start="360" w:end="0"/>
        <w:jc w:val="both"/>
        <w:rPr/>
      </w:pPr>
      <w:r>
        <w:rPr>
          <w:sz w:val="24"/>
        </w:rPr>
        <w:t xml:space="preserve">Capacity:  </w:t>
      </w:r>
      <w:r>
        <w:rPr>
          <w:b w:val="false"/>
          <w:sz w:val="22"/>
        </w:rPr>
        <w:t>Capacity charges are based on the PJM daily deficiency rate.  The Capacity Component rate shall be calculated as:</w:t>
      </w:r>
    </w:p>
    <w:p>
      <w:pPr>
        <w:pStyle w:val="Normal"/>
        <w:ind w:start="720" w:end="0"/>
        <w:rPr/>
      </w:pPr>
      <w:r>
        <w:rPr>
          <w:b/>
          <w:sz w:val="24"/>
        </w:rPr>
        <w:t>CC</w:t>
      </w:r>
      <w:r>
        <w:rPr>
          <w:b/>
          <w:sz w:val="32"/>
          <w:vertAlign w:val="subscript"/>
        </w:rPr>
        <w:t>c</w:t>
      </w:r>
      <w:r>
        <w:rPr>
          <w:b/>
          <w:sz w:val="32"/>
        </w:rPr>
        <w:t xml:space="preserve"> </w:t>
      </w:r>
      <w:r>
        <w:rPr>
          <w:b/>
          <w:sz w:val="24"/>
        </w:rPr>
        <w:t>= [</w:t>
      </w:r>
      <w:r>
        <w:rPr>
          <w:rFonts w:eastAsia="Symbol" w:cs="Symbol" w:ascii="Symbol" w:hAnsi="Symbol"/>
          <w:b/>
          <w:sz w:val="24"/>
        </w:rPr>
        <w:sym w:font="Symbol" w:char="f053"/>
      </w:r>
      <w:r>
        <w:rPr>
          <w:b/>
          <w:sz w:val="24"/>
        </w:rPr>
        <w:t xml:space="preserve"> (CO</w:t>
      </w:r>
      <w:r>
        <w:rPr>
          <w:b/>
          <w:sz w:val="32"/>
          <w:vertAlign w:val="subscript"/>
        </w:rPr>
        <w:t>c</w:t>
      </w:r>
      <w:r>
        <w:rPr>
          <w:b/>
          <w:sz w:val="24"/>
        </w:rPr>
        <w:t xml:space="preserve">*R)] </w:t>
      </w:r>
      <w:r>
        <w:rPr>
          <w:rFonts w:eastAsia="Symbol" w:cs="Symbol" w:ascii="Symbol" w:hAnsi="Symbol"/>
          <w:b/>
          <w:sz w:val="24"/>
        </w:rPr>
        <w:sym w:font="Symbol" w:char="f0b8"/>
      </w:r>
      <w:r>
        <w:rPr>
          <w:b/>
          <w:sz w:val="24"/>
        </w:rPr>
        <w:t xml:space="preserve"> </w:t>
      </w:r>
      <w:r>
        <w:rPr>
          <w:rFonts w:eastAsia="Symbol" w:cs="Symbol" w:ascii="Symbol" w:hAnsi="Symbol"/>
          <w:b/>
          <w:sz w:val="24"/>
        </w:rPr>
        <w:sym w:font="Symbol" w:char="f053"/>
      </w:r>
      <w:r>
        <w:rPr>
          <w:b/>
          <w:sz w:val="24"/>
        </w:rPr>
        <w:t>L</w:t>
      </w:r>
      <w:r>
        <w:rPr>
          <w:b/>
          <w:sz w:val="32"/>
          <w:vertAlign w:val="subscript"/>
        </w:rPr>
        <w:t>ch</w:t>
      </w:r>
    </w:p>
    <w:p>
      <w:pPr>
        <w:pStyle w:val="Normal"/>
        <w:ind w:start="720" w:end="0"/>
        <w:rPr>
          <w:b/>
          <w:sz w:val="16"/>
          <w:vertAlign w:val="subscript"/>
        </w:rPr>
      </w:pPr>
      <w:r>
        <w:rPr>
          <w:b/>
          <w:sz w:val="16"/>
          <w:vertAlign w:val="subscript"/>
        </w:rPr>
      </w:r>
    </w:p>
    <w:p>
      <w:pPr>
        <w:pStyle w:val="Normal"/>
        <w:ind w:start="865" w:end="0"/>
        <w:rPr>
          <w:sz w:val="22"/>
        </w:rPr>
      </w:pPr>
      <w:r>
        <w:rPr>
          <w:sz w:val="22"/>
        </w:rPr>
        <w:t>Where:</w:t>
      </w:r>
    </w:p>
    <w:p>
      <w:pPr>
        <w:pStyle w:val="Normal"/>
        <w:ind w:start="1038" w:end="0"/>
        <w:rPr/>
      </w:pPr>
      <w:r>
        <w:rPr>
          <w:sz w:val="22"/>
        </w:rPr>
        <w:t>CC</w:t>
      </w:r>
      <w:r>
        <w:rPr>
          <w:sz w:val="22"/>
          <w:vertAlign w:val="subscript"/>
        </w:rPr>
        <w:t>c</w:t>
      </w:r>
      <w:r>
        <w:rPr>
          <w:sz w:val="22"/>
        </w:rPr>
        <w:t xml:space="preserve"> = the Capacity Component for Customer c</w:t>
      </w:r>
    </w:p>
    <w:p>
      <w:pPr>
        <w:pStyle w:val="Normal"/>
        <w:ind w:start="1038" w:end="0"/>
        <w:rPr/>
      </w:pPr>
      <w:r>
        <w:rPr>
          <w:sz w:val="22"/>
        </w:rPr>
        <w:t>CO</w:t>
      </w:r>
      <w:r>
        <w:rPr>
          <w:sz w:val="22"/>
          <w:vertAlign w:val="subscript"/>
        </w:rPr>
        <w:t>c</w:t>
      </w:r>
      <w:r>
        <w:rPr>
          <w:sz w:val="22"/>
        </w:rPr>
        <w:t xml:space="preserve"> = the Daily PJM Capacity Obligation for Customer c</w:t>
      </w:r>
    </w:p>
    <w:p>
      <w:pPr>
        <w:pStyle w:val="BodyTextIndent3"/>
        <w:ind w:hanging="0" w:start="1080" w:end="0"/>
        <w:rPr/>
      </w:pPr>
      <w:r>
        <w:rPr/>
        <w:t>R = the PJM daily deficiency rate in dollars per megawatt day of unforced capacity as outlined in the PJM Reliability Assurance Agreement</w:t>
      </w:r>
    </w:p>
    <w:p>
      <w:pPr>
        <w:pStyle w:val="Normal"/>
        <w:ind w:start="1080" w:end="0"/>
        <w:rPr/>
      </w:pPr>
      <w:r>
        <w:rPr>
          <w:sz w:val="22"/>
        </w:rPr>
        <w:t>L</w:t>
      </w:r>
      <w:r>
        <w:rPr>
          <w:sz w:val="22"/>
          <w:vertAlign w:val="subscript"/>
        </w:rPr>
        <w:t>ch</w:t>
      </w:r>
      <w:r>
        <w:rPr>
          <w:sz w:val="22"/>
        </w:rPr>
        <w:t xml:space="preserve"> = the load for Customer c integrated over hour h</w:t>
      </w:r>
    </w:p>
    <w:p>
      <w:pPr>
        <w:pStyle w:val="Normal"/>
        <w:ind w:start="1080" w:end="0"/>
        <w:rPr>
          <w:sz w:val="22"/>
        </w:rPr>
      </w:pPr>
      <w:r>
        <w:rPr>
          <w:sz w:val="22"/>
        </w:rPr>
        <w:t>The summations are based on the number of days in the billing period and the total hours in the billing period, respectively.</w:t>
      </w:r>
    </w:p>
    <w:p>
      <w:pPr>
        <w:pStyle w:val="Normal"/>
        <w:ind w:start="720" w:end="0"/>
        <w:rPr>
          <w:sz w:val="16"/>
        </w:rPr>
      </w:pPr>
      <w:r>
        <w:rPr>
          <w:sz w:val="16"/>
        </w:rPr>
      </w:r>
    </w:p>
    <w:p>
      <w:pPr>
        <w:pStyle w:val="Heading1"/>
        <w:tabs>
          <w:tab w:val="clear" w:pos="173"/>
          <w:tab w:val="left" w:pos="360" w:leader="none"/>
        </w:tabs>
        <w:ind w:hanging="360" w:start="360" w:end="0"/>
        <w:jc w:val="both"/>
        <w:rPr/>
      </w:pPr>
      <w:r>
        <w:rPr>
          <w:sz w:val="24"/>
        </w:rPr>
        <w:t xml:space="preserve">Network Integration Transmission Service: </w:t>
      </w:r>
      <w:r>
        <w:rPr>
          <w:b w:val="false"/>
          <w:sz w:val="22"/>
        </w:rPr>
        <w:t>Network Integration Transmission Service is a demand-based service charged at the published tariff rate.  This tariff rate is set forth in the PJM Open Access Transmission Tariff (OATT) in Attachment H-2 for BGE.  This rate is applied to the Customer's contribution to the BC (BGE) zonal peak.  The rate is determined as:</w:t>
      </w:r>
    </w:p>
    <w:p>
      <w:pPr>
        <w:pStyle w:val="Normal"/>
        <w:ind w:start="720" w:end="0"/>
        <w:rPr/>
      </w:pPr>
      <w:r>
        <w:rPr>
          <w:b/>
          <w:sz w:val="24"/>
        </w:rPr>
        <w:t>NSC</w:t>
      </w:r>
      <w:r>
        <w:rPr>
          <w:b/>
          <w:sz w:val="32"/>
          <w:vertAlign w:val="subscript"/>
        </w:rPr>
        <w:t>c</w:t>
      </w:r>
      <w:r>
        <w:rPr>
          <w:b/>
          <w:sz w:val="32"/>
        </w:rPr>
        <w:t xml:space="preserve"> </w:t>
      </w:r>
      <w:r>
        <w:rPr>
          <w:b/>
          <w:sz w:val="24"/>
        </w:rPr>
        <w:t>= (CZP</w:t>
      </w:r>
      <w:r>
        <w:rPr>
          <w:b/>
          <w:sz w:val="32"/>
          <w:vertAlign w:val="subscript"/>
        </w:rPr>
        <w:t>c</w:t>
      </w:r>
      <w:r>
        <w:rPr>
          <w:b/>
          <w:sz w:val="24"/>
        </w:rPr>
        <w:t>*NR*H</w:t>
      </w:r>
      <w:r>
        <w:rPr>
          <w:b/>
          <w:sz w:val="32"/>
        </w:rPr>
        <w:t xml:space="preserve"> </w:t>
      </w:r>
      <w:r>
        <w:rPr>
          <w:b/>
          <w:sz w:val="24"/>
        </w:rPr>
        <w:t xml:space="preserve">) </w:t>
      </w:r>
      <w:r>
        <w:rPr>
          <w:rFonts w:eastAsia="Symbol" w:cs="Symbol" w:ascii="Symbol" w:hAnsi="Symbol"/>
          <w:b/>
          <w:sz w:val="24"/>
        </w:rPr>
        <w:sym w:font="Symbol" w:char="f0b8"/>
        <w:sym w:font="Symbol" w:char="f053"/>
      </w:r>
      <w:r>
        <w:rPr>
          <w:b/>
          <w:sz w:val="24"/>
        </w:rPr>
        <w:t>L</w:t>
      </w:r>
      <w:r>
        <w:rPr>
          <w:b/>
          <w:sz w:val="32"/>
          <w:vertAlign w:val="subscript"/>
        </w:rPr>
        <w:t>ch</w:t>
      </w:r>
    </w:p>
    <w:p>
      <w:pPr>
        <w:pStyle w:val="Normal"/>
        <w:ind w:start="720" w:end="0"/>
        <w:rPr>
          <w:b/>
          <w:sz w:val="16"/>
          <w:vertAlign w:val="subscript"/>
        </w:rPr>
      </w:pPr>
      <w:r>
        <w:rPr>
          <w:b/>
          <w:sz w:val="16"/>
          <w:vertAlign w:val="subscript"/>
        </w:rPr>
      </w:r>
    </w:p>
    <w:p>
      <w:pPr>
        <w:pStyle w:val="Normal"/>
        <w:ind w:start="720" w:end="0"/>
        <w:rPr>
          <w:sz w:val="22"/>
        </w:rPr>
      </w:pPr>
      <w:r>
        <w:rPr>
          <w:sz w:val="22"/>
        </w:rPr>
        <w:t>Where:</w:t>
      </w:r>
    </w:p>
    <w:p>
      <w:pPr>
        <w:pStyle w:val="Normal"/>
        <w:ind w:start="1038" w:end="0"/>
        <w:rPr/>
      </w:pPr>
      <w:r>
        <w:rPr>
          <w:sz w:val="22"/>
        </w:rPr>
        <w:t>NSC</w:t>
      </w:r>
      <w:r>
        <w:rPr>
          <w:sz w:val="22"/>
          <w:vertAlign w:val="subscript"/>
        </w:rPr>
        <w:t>c</w:t>
      </w:r>
      <w:r>
        <w:rPr>
          <w:sz w:val="22"/>
        </w:rPr>
        <w:t xml:space="preserve"> = the Network Integrated Transmission Service Component for Customer c</w:t>
      </w:r>
    </w:p>
    <w:p>
      <w:pPr>
        <w:pStyle w:val="Normal"/>
        <w:ind w:start="1038" w:end="0"/>
        <w:rPr/>
      </w:pPr>
      <w:r>
        <w:rPr>
          <w:sz w:val="22"/>
        </w:rPr>
        <w:t>CZP</w:t>
      </w:r>
      <w:r>
        <w:rPr>
          <w:sz w:val="22"/>
          <w:vertAlign w:val="subscript"/>
        </w:rPr>
        <w:t>c</w:t>
      </w:r>
      <w:r>
        <w:rPr>
          <w:sz w:val="22"/>
        </w:rPr>
        <w:t xml:space="preserve"> = the contribution to the BC (BGE) Zonal Peak for Customer c</w:t>
      </w:r>
    </w:p>
    <w:p>
      <w:pPr>
        <w:pStyle w:val="Normal"/>
        <w:ind w:firstLine="1" w:start="1037" w:end="0"/>
        <w:rPr>
          <w:sz w:val="22"/>
        </w:rPr>
      </w:pPr>
      <w:r>
        <w:rPr>
          <w:sz w:val="22"/>
        </w:rPr>
        <w:t>NR = the Network Integrated Transmission Service Rate for the Baltimore zone as published in the PJM OATT (Attachment H-2)</w:t>
        <w:br/>
        <w:t>H = number of hours in the billing period for Customer c</w:t>
      </w:r>
    </w:p>
    <w:p>
      <w:pPr>
        <w:pStyle w:val="Normal"/>
        <w:ind w:start="1037" w:end="0"/>
        <w:rPr/>
      </w:pPr>
      <w:r>
        <w:rPr>
          <w:sz w:val="22"/>
        </w:rPr>
        <w:t>L</w:t>
      </w:r>
      <w:r>
        <w:rPr>
          <w:sz w:val="22"/>
          <w:vertAlign w:val="subscript"/>
        </w:rPr>
        <w:t xml:space="preserve">ch = </w:t>
      </w:r>
      <w:r>
        <w:rPr>
          <w:sz w:val="22"/>
        </w:rPr>
        <w:t xml:space="preserve">the load for Customer c integrated over hour h </w:t>
      </w:r>
    </w:p>
    <w:p>
      <w:pPr>
        <w:pStyle w:val="Normal"/>
        <w:ind w:start="1037" w:end="0"/>
        <w:rPr>
          <w:sz w:val="22"/>
        </w:rPr>
      </w:pPr>
      <w:r>
        <w:rPr>
          <w:sz w:val="22"/>
        </w:rPr>
        <w:t>The summation is over the total hours in the billing period.</w:t>
      </w:r>
    </w:p>
    <w:p>
      <w:pPr>
        <w:pStyle w:val="Normal"/>
        <w:rPr>
          <w:sz w:val="16"/>
        </w:rPr>
      </w:pPr>
      <w:r>
        <w:rPr>
          <w:sz w:val="16"/>
        </w:rPr>
      </w:r>
    </w:p>
    <w:p>
      <w:pPr>
        <w:pStyle w:val="Heading1"/>
        <w:tabs>
          <w:tab w:val="clear" w:pos="173"/>
          <w:tab w:val="left" w:pos="360" w:leader="none"/>
        </w:tabs>
        <w:ind w:hanging="360" w:start="360" w:end="0"/>
        <w:jc w:val="start"/>
        <w:rPr>
          <w:sz w:val="24"/>
        </w:rPr>
      </w:pPr>
      <w:r>
        <w:rPr>
          <w:sz w:val="24"/>
        </w:rPr>
        <w:t>Ancillary Services</w:t>
      </w:r>
    </w:p>
    <w:p>
      <w:pPr>
        <w:pStyle w:val="Heading1"/>
        <w:tabs>
          <w:tab w:val="clear" w:pos="173"/>
          <w:tab w:val="left" w:pos="792" w:leader="none"/>
        </w:tabs>
        <w:ind w:hanging="432" w:start="792" w:end="0"/>
        <w:jc w:val="start"/>
        <w:rPr/>
      </w:pPr>
      <w:r>
        <w:rPr>
          <w:sz w:val="22"/>
        </w:rPr>
        <w:t xml:space="preserve">Regulation:  </w:t>
      </w:r>
      <w:r>
        <w:rPr>
          <w:b w:val="false"/>
          <w:sz w:val="22"/>
        </w:rPr>
        <w:t xml:space="preserve">Regulation expenses are allocated on an hourly energy consumption basis at the wholesale level. </w:t>
      </w:r>
    </w:p>
    <w:p>
      <w:pPr>
        <w:pStyle w:val="Normal"/>
        <w:ind w:start="720" w:end="0"/>
        <w:rPr/>
      </w:pPr>
      <w:r>
        <w:rPr>
          <w:sz w:val="22"/>
        </w:rPr>
        <w:t xml:space="preserve">For Customers </w:t>
      </w:r>
      <w:r>
        <w:rPr>
          <w:b/>
          <w:sz w:val="22"/>
        </w:rPr>
        <w:t>with</w:t>
      </w:r>
      <w:r>
        <w:rPr>
          <w:sz w:val="22"/>
        </w:rPr>
        <w:t xml:space="preserve"> hourly meters, the rate shall be calculated as:</w:t>
      </w:r>
    </w:p>
    <w:p>
      <w:pPr>
        <w:pStyle w:val="Normal"/>
        <w:ind w:start="720" w:end="0"/>
        <w:rPr/>
      </w:pPr>
      <w:r>
        <w:rPr>
          <w:b/>
          <w:sz w:val="22"/>
        </w:rPr>
        <w:t>ARC</w:t>
      </w:r>
      <w:r>
        <w:rPr>
          <w:b/>
          <w:sz w:val="22"/>
          <w:vertAlign w:val="subscript"/>
        </w:rPr>
        <w:t>cl</w:t>
      </w:r>
      <w:r>
        <w:rPr>
          <w:b/>
          <w:sz w:val="22"/>
        </w:rPr>
        <w:t xml:space="preserve"> = [∑(L</w:t>
      </w:r>
      <w:r>
        <w:rPr>
          <w:b/>
          <w:sz w:val="22"/>
          <w:vertAlign w:val="subscript"/>
        </w:rPr>
        <w:t>ch</w:t>
      </w:r>
      <w:r>
        <w:rPr>
          <w:b/>
          <w:sz w:val="22"/>
        </w:rPr>
        <w:t>*LF</w:t>
      </w:r>
      <w:r>
        <w:rPr>
          <w:b/>
          <w:sz w:val="22"/>
          <w:vertAlign w:val="subscript"/>
        </w:rPr>
        <w:t>lh</w:t>
      </w:r>
      <w:r>
        <w:rPr>
          <w:b/>
          <w:sz w:val="22"/>
        </w:rPr>
        <w:t xml:space="preserve">) </w:t>
      </w:r>
      <w:r>
        <w:rPr>
          <w:rFonts w:eastAsia="Symbol" w:cs="Symbol" w:ascii="Symbol" w:hAnsi="Symbol"/>
          <w:b/>
          <w:sz w:val="22"/>
        </w:rPr>
        <w:sym w:font="Symbol" w:char="f0b8"/>
      </w:r>
      <w:r>
        <w:rPr>
          <w:b/>
          <w:sz w:val="22"/>
        </w:rPr>
        <w:t xml:space="preserve"> ∑L</w:t>
      </w:r>
      <w:r>
        <w:rPr>
          <w:b/>
          <w:sz w:val="22"/>
          <w:vertAlign w:val="subscript"/>
        </w:rPr>
        <w:t>ch</w:t>
      </w:r>
      <w:r>
        <w:rPr>
          <w:b/>
          <w:sz w:val="22"/>
        </w:rPr>
        <w:t>]*BDR</w:t>
      </w:r>
    </w:p>
    <w:p>
      <w:pPr>
        <w:pStyle w:val="Normal"/>
        <w:ind w:start="720" w:end="0"/>
        <w:rPr>
          <w:b/>
          <w:sz w:val="16"/>
        </w:rPr>
      </w:pPr>
      <w:r>
        <w:rPr>
          <w:b/>
          <w:sz w:val="16"/>
        </w:rPr>
      </w:r>
    </w:p>
    <w:p>
      <w:pPr>
        <w:pStyle w:val="Normal"/>
        <w:ind w:start="720" w:end="0"/>
        <w:rPr>
          <w:sz w:val="22"/>
        </w:rPr>
      </w:pPr>
      <w:r>
        <w:rPr>
          <w:sz w:val="22"/>
        </w:rPr>
        <w:t>Where:</w:t>
      </w:r>
    </w:p>
    <w:p>
      <w:pPr>
        <w:pStyle w:val="Normal"/>
        <w:ind w:start="1038" w:end="0"/>
        <w:rPr/>
      </w:pPr>
      <w:r>
        <w:rPr>
          <w:sz w:val="22"/>
        </w:rPr>
        <w:t>ARC</w:t>
      </w:r>
      <w:r>
        <w:rPr>
          <w:sz w:val="22"/>
          <w:vertAlign w:val="subscript"/>
        </w:rPr>
        <w:t>cl</w:t>
      </w:r>
      <w:r>
        <w:rPr>
          <w:sz w:val="22"/>
        </w:rPr>
        <w:t xml:space="preserve"> = the Average Regulation Component rate for Customer c in loss class l</w:t>
      </w:r>
    </w:p>
    <w:p>
      <w:pPr>
        <w:pStyle w:val="Normal"/>
        <w:ind w:start="1038" w:end="0"/>
        <w:rPr/>
      </w:pPr>
      <w:r>
        <w:rPr>
          <w:sz w:val="22"/>
        </w:rPr>
        <w:t>L</w:t>
      </w:r>
      <w:r>
        <w:rPr>
          <w:sz w:val="22"/>
          <w:vertAlign w:val="subscript"/>
        </w:rPr>
        <w:t>ch</w:t>
      </w:r>
      <w:r>
        <w:rPr>
          <w:sz w:val="22"/>
        </w:rPr>
        <w:t xml:space="preserve"> = the load for Customer c integrated over hour h</w:t>
      </w:r>
    </w:p>
    <w:p>
      <w:pPr>
        <w:pStyle w:val="Normal"/>
        <w:ind w:start="1038" w:end="0"/>
        <w:rPr/>
      </w:pPr>
      <w:r>
        <w:rPr>
          <w:sz w:val="22"/>
        </w:rPr>
        <w:t>LF</w:t>
      </w:r>
      <w:r>
        <w:rPr>
          <w:sz w:val="22"/>
          <w:vertAlign w:val="subscript"/>
        </w:rPr>
        <w:t>lh</w:t>
      </w:r>
      <w:r>
        <w:rPr>
          <w:sz w:val="22"/>
        </w:rPr>
        <w:t xml:space="preserve"> = the loss factor for loss class l in hour h</w:t>
      </w:r>
    </w:p>
    <w:p>
      <w:pPr>
        <w:pStyle w:val="Normal"/>
        <w:ind w:hanging="173" w:start="1210" w:end="0"/>
        <w:rPr/>
      </w:pPr>
      <w:r>
        <w:rPr>
          <w:sz w:val="22"/>
        </w:rPr>
        <w:t>BDR = the latest available month’s PJM load weighted Billing Determinant for Regulation</w:t>
      </w:r>
    </w:p>
    <w:p>
      <w:pPr>
        <w:pStyle w:val="Normal"/>
        <w:ind w:hanging="173" w:start="1210" w:end="0"/>
        <w:rPr>
          <w:sz w:val="22"/>
        </w:rPr>
      </w:pPr>
      <w:r>
        <w:rPr>
          <w:sz w:val="22"/>
        </w:rPr>
        <w:t>The summation is over the total hours in the billing period</w:t>
      </w:r>
    </w:p>
    <w:p>
      <w:pPr>
        <w:pStyle w:val="Normal"/>
        <w:ind w:hanging="43" w:start="1080" w:end="0"/>
        <w:rPr>
          <w:sz w:val="22"/>
        </w:rPr>
      </w:pPr>
      <w:r>
        <w:rPr>
          <w:sz w:val="22"/>
        </w:rPr>
        <w:t>The BDR shall be calculated using the best available PJM hourly loads and regulation billing determinants.</w:t>
      </w:r>
    </w:p>
    <w:p>
      <w:pPr>
        <w:pStyle w:val="Heading1"/>
        <w:tabs>
          <w:tab w:val="clear" w:pos="173"/>
          <w:tab w:val="left" w:pos="720" w:leader="none"/>
          <w:tab w:val="left" w:pos="900" w:leader="none"/>
        </w:tabs>
        <w:ind w:hanging="0" w:start="720" w:end="0"/>
        <w:jc w:val="both"/>
        <w:rPr>
          <w:b w:val="false"/>
          <w:sz w:val="22"/>
        </w:rPr>
      </w:pPr>
      <w:r>
        <w:rPr>
          <w:b w:val="false"/>
          <w:sz w:val="22"/>
        </w:rPr>
      </w:r>
    </w:p>
    <w:p>
      <w:pPr>
        <w:pStyle w:val="Heading1"/>
        <w:tabs>
          <w:tab w:val="clear" w:pos="173"/>
          <w:tab w:val="left" w:pos="720" w:leader="none"/>
          <w:tab w:val="left" w:pos="900" w:leader="none"/>
        </w:tabs>
        <w:ind w:hanging="0" w:start="720" w:end="0"/>
        <w:jc w:val="both"/>
        <w:rPr/>
      </w:pPr>
      <w:r>
        <w:rPr>
          <w:b w:val="false"/>
          <w:sz w:val="22"/>
        </w:rPr>
        <w:t xml:space="preserve">For Customers </w:t>
      </w:r>
      <w:r>
        <w:rPr>
          <w:sz w:val="22"/>
        </w:rPr>
        <w:t>without</w:t>
      </w:r>
      <w:r>
        <w:rPr>
          <w:b w:val="false"/>
          <w:sz w:val="22"/>
        </w:rPr>
        <w:t xml:space="preserve"> hourly meters, the average customer load for the profile class will be used in place of the actual load (L</w:t>
      </w:r>
      <w:r>
        <w:rPr>
          <w:b w:val="false"/>
          <w:sz w:val="22"/>
          <w:vertAlign w:val="subscript"/>
        </w:rPr>
        <w:t>ch</w:t>
      </w:r>
      <w:r>
        <w:rPr>
          <w:b w:val="false"/>
          <w:sz w:val="22"/>
        </w:rPr>
        <w:t>).</w:t>
      </w:r>
    </w:p>
    <w:p>
      <w:pPr>
        <w:sectPr>
          <w:headerReference w:type="even" r:id="rId2"/>
          <w:headerReference w:type="default" r:id="rId3"/>
          <w:footerReference w:type="even" r:id="rId4"/>
          <w:footerReference w:type="default" r:id="rId5"/>
          <w:type w:val="nextPage"/>
          <w:pgSz w:w="12240" w:h="15840"/>
          <w:pgMar w:left="1080" w:right="1080" w:gutter="720" w:header="893" w:top="1181" w:footer="605" w:bottom="1181"/>
          <w:pgNumType w:fmt="decimal"/>
          <w:formProt w:val="false"/>
          <w:textDirection w:val="lrTb"/>
          <w:docGrid w:type="default" w:linePitch="360" w:charSpace="0"/>
        </w:sectPr>
        <w:pStyle w:val="Normal"/>
        <w:tabs>
          <w:tab w:val="left" w:pos="173" w:leader="none"/>
          <w:tab w:val="left" w:pos="346" w:leader="none"/>
          <w:tab w:val="left" w:pos="519" w:leader="none"/>
        </w:tabs>
        <w:spacing w:lineRule="exact" w:line="240" w:before="120" w:after="0"/>
        <w:ind w:hanging="691" w:start="691" w:end="0"/>
        <w:jc w:val="center"/>
        <w:rPr>
          <w:sz w:val="22"/>
        </w:rPr>
      </w:pPr>
      <w:r>
        <w:rPr>
          <w:sz w:val="22"/>
        </w:rPr>
        <w:t>(Continued on Next Page)</w:t>
      </w:r>
    </w:p>
    <w:p>
      <w:pPr>
        <w:pStyle w:val="Heading2"/>
        <w:ind w:hanging="0" w:start="0"/>
        <w:rPr/>
      </w:pPr>
      <w:r>
        <w:rPr/>
        <w:t>Schedule DS continued</w:t>
      </w:r>
    </w:p>
    <w:p>
      <w:pPr>
        <w:pStyle w:val="Heading1"/>
        <w:tabs>
          <w:tab w:val="clear" w:pos="173"/>
          <w:tab w:val="left" w:pos="792" w:leader="none"/>
        </w:tabs>
        <w:ind w:hanging="432" w:start="792" w:end="0"/>
        <w:jc w:val="start"/>
        <w:rPr>
          <w:sz w:val="22"/>
        </w:rPr>
      </w:pPr>
      <w:r>
        <w:rPr>
          <w:sz w:val="22"/>
        </w:rPr>
        <w:t>Operating Reserves</w:t>
      </w:r>
    </w:p>
    <w:p>
      <w:pPr>
        <w:pStyle w:val="Normal"/>
        <w:ind w:start="720" w:end="0"/>
        <w:jc w:val="both"/>
        <w:rPr/>
      </w:pPr>
      <w:r>
        <w:rPr>
          <w:sz w:val="22"/>
        </w:rPr>
        <w:t>Operating Reserve charges are allocated to load on a daily basis and published the 5</w:t>
      </w:r>
      <w:r>
        <w:rPr>
          <w:sz w:val="22"/>
          <w:vertAlign w:val="superscript"/>
        </w:rPr>
        <w:t>th</w:t>
      </w:r>
      <w:r>
        <w:rPr>
          <w:sz w:val="22"/>
        </w:rPr>
        <w:t xml:space="preserve"> working day following the applicable month.  Preliminary Operating Reserve charges are available which lag by approximately 2 weeks.  The latest month’s total known PJM load weighted Operating Reserve Rate will be used and allocated to the billing month’s load, adjusted for losses. </w:t>
      </w:r>
    </w:p>
    <w:p>
      <w:pPr>
        <w:pStyle w:val="Normal"/>
        <w:ind w:start="720" w:end="0"/>
        <w:rPr>
          <w:sz w:val="22"/>
        </w:rPr>
      </w:pPr>
      <w:r>
        <w:rPr>
          <w:sz w:val="22"/>
        </w:rPr>
      </w:r>
    </w:p>
    <w:p>
      <w:pPr>
        <w:pStyle w:val="BodyText2"/>
        <w:rPr/>
      </w:pPr>
      <w:r>
        <w:rPr/>
        <w:t xml:space="preserve">For Customers </w:t>
      </w:r>
      <w:r>
        <w:rPr>
          <w:b/>
        </w:rPr>
        <w:t xml:space="preserve">with </w:t>
      </w:r>
      <w:r>
        <w:rPr/>
        <w:t>hourly meters, the rate shall be calculated as:</w:t>
      </w:r>
    </w:p>
    <w:p>
      <w:pPr>
        <w:pStyle w:val="BodyText2"/>
        <w:rPr>
          <w:sz w:val="16"/>
        </w:rPr>
      </w:pPr>
      <w:r>
        <w:rPr>
          <w:sz w:val="16"/>
        </w:rPr>
      </w:r>
    </w:p>
    <w:p>
      <w:pPr>
        <w:pStyle w:val="Normal"/>
        <w:ind w:start="720" w:end="0"/>
        <w:rPr>
          <w:sz w:val="32"/>
        </w:rPr>
      </w:pPr>
      <w:r>
        <w:rPr>
          <w:b/>
          <w:sz w:val="22"/>
        </w:rPr>
        <w:t>OR</w:t>
      </w:r>
      <w:r>
        <w:rPr>
          <w:b/>
          <w:sz w:val="22"/>
          <w:vertAlign w:val="subscript"/>
        </w:rPr>
        <w:t>cl</w:t>
      </w:r>
      <w:r>
        <w:rPr>
          <w:b/>
          <w:sz w:val="22"/>
        </w:rPr>
        <w:t xml:space="preserve"> = [∑(L</w:t>
      </w:r>
      <w:r>
        <w:rPr>
          <w:b/>
          <w:sz w:val="22"/>
          <w:vertAlign w:val="subscript"/>
        </w:rPr>
        <w:t>ch</w:t>
      </w:r>
      <w:r>
        <w:rPr>
          <w:b/>
          <w:sz w:val="22"/>
        </w:rPr>
        <w:t>*LF</w:t>
      </w:r>
      <w:r>
        <w:rPr>
          <w:b/>
          <w:sz w:val="22"/>
          <w:vertAlign w:val="subscript"/>
        </w:rPr>
        <w:t>lh</w:t>
      </w:r>
      <w:r>
        <w:rPr>
          <w:b/>
          <w:sz w:val="22"/>
        </w:rPr>
        <w:t xml:space="preserve">) </w:t>
      </w:r>
      <w:r>
        <w:rPr>
          <w:rFonts w:eastAsia="Symbol" w:cs="Symbol" w:ascii="Symbol" w:hAnsi="Symbol"/>
          <w:b/>
          <w:sz w:val="22"/>
        </w:rPr>
        <w:sym w:font="Symbol" w:char="f0b8"/>
      </w:r>
      <w:r>
        <w:rPr>
          <w:b/>
          <w:sz w:val="22"/>
        </w:rPr>
        <w:t xml:space="preserve"> ∑L</w:t>
      </w:r>
      <w:r>
        <w:rPr>
          <w:b/>
          <w:sz w:val="22"/>
          <w:vertAlign w:val="subscript"/>
        </w:rPr>
        <w:t>ch</w:t>
      </w:r>
      <w:r>
        <w:rPr>
          <w:b/>
          <w:sz w:val="22"/>
        </w:rPr>
        <w:t>]*BOR</w:t>
      </w:r>
    </w:p>
    <w:p>
      <w:pPr>
        <w:pStyle w:val="SUBTITLE1"/>
        <w:spacing w:before="0" w:after="0"/>
        <w:rPr>
          <w:rFonts w:ascii="Times New Roman" w:hAnsi="Times New Roman" w:cs="Times New Roman"/>
          <w:b w:val="false"/>
          <w:i/>
          <w:i/>
          <w:sz w:val="22"/>
        </w:rPr>
      </w:pPr>
      <w:r>
        <w:rPr>
          <w:rFonts w:cs="Times New Roman" w:ascii="Times New Roman" w:hAnsi="Times New Roman"/>
          <w:b w:val="false"/>
          <w:i/>
          <w:sz w:val="22"/>
        </w:rPr>
      </w:r>
    </w:p>
    <w:p>
      <w:pPr>
        <w:pStyle w:val="SUBTITLE1"/>
        <w:spacing w:before="0" w:after="0"/>
        <w:rPr/>
      </w:pPr>
      <w:r>
        <w:rPr>
          <w:rFonts w:cs="Times New Roman" w:ascii="Times New Roman" w:hAnsi="Times New Roman"/>
          <w:b w:val="false"/>
          <w:i/>
          <w:sz w:val="22"/>
        </w:rPr>
        <w:tab/>
        <w:tab/>
        <w:tab/>
        <w:tab/>
      </w:r>
      <w:r>
        <w:rPr>
          <w:rFonts w:cs="Times New Roman" w:ascii="Times New Roman" w:hAnsi="Times New Roman"/>
          <w:b w:val="false"/>
          <w:sz w:val="22"/>
        </w:rPr>
        <w:t>Where:</w:t>
      </w:r>
    </w:p>
    <w:p>
      <w:pPr>
        <w:pStyle w:val="Normal"/>
        <w:ind w:firstLine="145" w:start="720" w:end="0"/>
        <w:rPr/>
      </w:pPr>
      <w:r>
        <w:rPr>
          <w:sz w:val="22"/>
        </w:rPr>
        <w:t>OR</w:t>
      </w:r>
      <w:r>
        <w:rPr>
          <w:sz w:val="22"/>
          <w:vertAlign w:val="subscript"/>
        </w:rPr>
        <w:t>cl =</w:t>
      </w:r>
      <w:r>
        <w:rPr>
          <w:sz w:val="22"/>
        </w:rPr>
        <w:t xml:space="preserve"> the Operating Reserve Component rate for Customer c in loss class l</w:t>
      </w:r>
    </w:p>
    <w:p>
      <w:pPr>
        <w:pStyle w:val="Normal"/>
        <w:ind w:firstLine="145" w:start="720" w:end="0"/>
        <w:rPr/>
      </w:pPr>
      <w:r>
        <w:rPr>
          <w:sz w:val="22"/>
        </w:rPr>
        <w:t>L</w:t>
      </w:r>
      <w:r>
        <w:rPr>
          <w:sz w:val="22"/>
          <w:vertAlign w:val="subscript"/>
        </w:rPr>
        <w:t>ch</w:t>
      </w:r>
      <w:r>
        <w:rPr>
          <w:sz w:val="22"/>
        </w:rPr>
        <w:t xml:space="preserve"> = the load for Customer c integrated over hour h </w:t>
      </w:r>
    </w:p>
    <w:p>
      <w:pPr>
        <w:pStyle w:val="Normal"/>
        <w:ind w:firstLine="145" w:start="720" w:end="0"/>
        <w:rPr/>
      </w:pPr>
      <w:r>
        <w:rPr>
          <w:sz w:val="22"/>
        </w:rPr>
        <w:t>LF</w:t>
      </w:r>
      <w:r>
        <w:rPr>
          <w:sz w:val="22"/>
          <w:vertAlign w:val="subscript"/>
        </w:rPr>
        <w:t>lh</w:t>
      </w:r>
      <w:r>
        <w:rPr>
          <w:sz w:val="22"/>
        </w:rPr>
        <w:t xml:space="preserve"> = the loss factor for loss class l in hour h </w:t>
      </w:r>
    </w:p>
    <w:p>
      <w:pPr>
        <w:pStyle w:val="Normal"/>
        <w:ind w:hanging="28" w:start="893" w:end="0"/>
        <w:rPr/>
      </w:pPr>
      <w:r>
        <w:rPr>
          <w:sz w:val="22"/>
        </w:rPr>
        <w:t>BOR = the latest available PJM load weighted Billing Determinant rate for Operating Reserve Charges</w:t>
      </w:r>
    </w:p>
    <w:p>
      <w:pPr>
        <w:pStyle w:val="Normal"/>
        <w:ind w:firstLine="72" w:start="720" w:end="0"/>
        <w:rPr>
          <w:sz w:val="22"/>
        </w:rPr>
      </w:pPr>
      <w:r>
        <w:rPr>
          <w:sz w:val="22"/>
        </w:rPr>
        <w:t>The summation is over the total hours in the billing period.</w:t>
      </w:r>
    </w:p>
    <w:p>
      <w:pPr>
        <w:pStyle w:val="Normal"/>
        <w:ind w:start="720" w:end="0"/>
        <w:rPr/>
      </w:pPr>
      <w:r>
        <w:rPr>
          <w:sz w:val="22"/>
        </w:rPr>
        <w:t xml:space="preserve">For Customers </w:t>
      </w:r>
      <w:r>
        <w:rPr>
          <w:b/>
          <w:sz w:val="22"/>
        </w:rPr>
        <w:t xml:space="preserve">without </w:t>
      </w:r>
      <w:r>
        <w:rPr>
          <w:sz w:val="22"/>
        </w:rPr>
        <w:t>hourly meters, the average customer load for the profile class will be used in place of the actual load (L</w:t>
      </w:r>
      <w:r>
        <w:rPr>
          <w:sz w:val="22"/>
          <w:vertAlign w:val="subscript"/>
        </w:rPr>
        <w:t>ch</w:t>
      </w:r>
      <w:r>
        <w:rPr>
          <w:sz w:val="22"/>
        </w:rPr>
        <w:t>)</w:t>
      </w:r>
    </w:p>
    <w:p>
      <w:pPr>
        <w:pStyle w:val="Normal"/>
        <w:ind w:hanging="173" w:start="893" w:end="0"/>
        <w:rPr>
          <w:sz w:val="22"/>
        </w:rPr>
      </w:pPr>
      <w:r>
        <w:rPr>
          <w:sz w:val="22"/>
        </w:rPr>
      </w:r>
    </w:p>
    <w:p>
      <w:pPr>
        <w:pStyle w:val="Heading1"/>
        <w:tabs>
          <w:tab w:val="clear" w:pos="173"/>
          <w:tab w:val="left" w:pos="792" w:leader="none"/>
        </w:tabs>
        <w:ind w:hanging="432" w:start="792" w:end="0"/>
        <w:jc w:val="start"/>
        <w:rPr/>
      </w:pPr>
      <w:r>
        <w:rPr>
          <w:sz w:val="22"/>
        </w:rPr>
        <w:t xml:space="preserve">PJM Interconnection Administrative Services: </w:t>
      </w:r>
      <w:r>
        <w:rPr>
          <w:b w:val="false"/>
          <w:sz w:val="22"/>
        </w:rPr>
        <w:t>PJM Interconnection Administrative Services, including Scheduling, System Control and Dispatch Services, have been unbundled by PJM in Schedules 1, 1A, 9 and 10 of the PJM Open Access Transmission Tariff (OATT).  The charges are published on the PJM website. Service components include Control Area Administration, Capacity Adequacy Administration, Fixed Transmission Rights Administration, Market Support, Regulation and Frequency Response Administration, Internal Energy Transaction Administration, and Capacity Resource and Obligation Management for PJM Scheduling, System Control and Dispatch Service (Schedules 1 and 9), Mid-Atlantic Area Council Charges (Schedule 10) and RTO Scheduling, System Control and Dispatch Service (Schedule 1A).  The resulting formula for each service cost component is the latest available month’s rate adjusted for the Customer's losses.</w:t>
      </w:r>
    </w:p>
    <w:p>
      <w:pPr>
        <w:pStyle w:val="Normal"/>
        <w:rPr>
          <w:b/>
          <w:sz w:val="16"/>
        </w:rPr>
      </w:pPr>
      <w:r>
        <w:rPr>
          <w:b/>
          <w:sz w:val="16"/>
        </w:rPr>
      </w:r>
    </w:p>
    <w:p>
      <w:pPr>
        <w:pStyle w:val="Normal"/>
        <w:ind w:hanging="228" w:start="1038" w:end="0"/>
        <w:rPr/>
      </w:pPr>
      <w:r>
        <w:rPr>
          <w:sz w:val="22"/>
        </w:rPr>
        <w:t xml:space="preserve">For Customers </w:t>
      </w:r>
      <w:r>
        <w:rPr>
          <w:b/>
          <w:sz w:val="22"/>
        </w:rPr>
        <w:t xml:space="preserve">with </w:t>
      </w:r>
      <w:r>
        <w:rPr>
          <w:sz w:val="22"/>
        </w:rPr>
        <w:t>hourly meters, the rate shall be calculated as:</w:t>
      </w:r>
    </w:p>
    <w:p>
      <w:pPr>
        <w:pStyle w:val="Normal"/>
        <w:ind w:firstLine="90" w:start="720" w:end="0"/>
        <w:rPr>
          <w:sz w:val="32"/>
        </w:rPr>
      </w:pPr>
      <w:r>
        <w:rPr>
          <w:b/>
          <w:sz w:val="22"/>
        </w:rPr>
        <w:t>CD</w:t>
      </w:r>
      <w:r>
        <w:rPr>
          <w:b/>
          <w:sz w:val="22"/>
          <w:vertAlign w:val="subscript"/>
        </w:rPr>
        <w:t>cli</w:t>
      </w:r>
      <w:r>
        <w:rPr>
          <w:b/>
          <w:sz w:val="22"/>
        </w:rPr>
        <w:t xml:space="preserve"> = [∑(L</w:t>
      </w:r>
      <w:r>
        <w:rPr>
          <w:b/>
          <w:sz w:val="22"/>
          <w:vertAlign w:val="subscript"/>
        </w:rPr>
        <w:t>ch</w:t>
      </w:r>
      <w:r>
        <w:rPr>
          <w:b/>
          <w:sz w:val="22"/>
        </w:rPr>
        <w:t>*LF</w:t>
      </w:r>
      <w:r>
        <w:rPr>
          <w:b/>
          <w:sz w:val="22"/>
          <w:vertAlign w:val="subscript"/>
        </w:rPr>
        <w:t>lh</w:t>
      </w:r>
      <w:r>
        <w:rPr>
          <w:b/>
          <w:sz w:val="22"/>
        </w:rPr>
        <w:t xml:space="preserve">) </w:t>
      </w:r>
      <w:r>
        <w:rPr>
          <w:rFonts w:eastAsia="Symbol" w:cs="Symbol" w:ascii="Symbol" w:hAnsi="Symbol"/>
          <w:b/>
          <w:sz w:val="22"/>
        </w:rPr>
        <w:sym w:font="Symbol" w:char="f0b8"/>
      </w:r>
      <w:r>
        <w:rPr>
          <w:b/>
          <w:sz w:val="22"/>
        </w:rPr>
        <w:t xml:space="preserve"> ∑L</w:t>
      </w:r>
      <w:r>
        <w:rPr>
          <w:b/>
          <w:sz w:val="22"/>
          <w:vertAlign w:val="subscript"/>
        </w:rPr>
        <w:t>ch</w:t>
      </w:r>
      <w:r>
        <w:rPr>
          <w:b/>
          <w:sz w:val="22"/>
        </w:rPr>
        <w:t>]* CDR</w:t>
      </w:r>
      <w:r>
        <w:rPr>
          <w:b/>
          <w:sz w:val="22"/>
          <w:vertAlign w:val="subscript"/>
        </w:rPr>
        <w:t>cli</w:t>
      </w:r>
    </w:p>
    <w:p>
      <w:pPr>
        <w:pStyle w:val="Normal"/>
        <w:ind w:hanging="138" w:start="1038" w:end="0"/>
        <w:rPr>
          <w:sz w:val="22"/>
        </w:rPr>
      </w:pPr>
      <w:r>
        <w:rPr>
          <w:sz w:val="22"/>
        </w:rPr>
        <w:t>Where:</w:t>
      </w:r>
    </w:p>
    <w:p>
      <w:pPr>
        <w:pStyle w:val="Normal"/>
        <w:ind w:start="1038" w:end="0"/>
        <w:rPr/>
      </w:pPr>
      <w:r>
        <w:rPr>
          <w:sz w:val="22"/>
        </w:rPr>
        <w:t>CD</w:t>
      </w:r>
      <w:r>
        <w:rPr>
          <w:sz w:val="22"/>
          <w:vertAlign w:val="subscript"/>
        </w:rPr>
        <w:t>cli =</w:t>
      </w:r>
      <w:r>
        <w:rPr>
          <w:sz w:val="22"/>
        </w:rPr>
        <w:t xml:space="preserve"> the PJM Interconnection Administrative Services  (including Scheduling, System Control &amp; Dispatch Service) Component for Customer c in loss class l for each service component rate element i </w:t>
      </w:r>
    </w:p>
    <w:p>
      <w:pPr>
        <w:pStyle w:val="Normal"/>
        <w:ind w:start="1038" w:end="0"/>
        <w:rPr/>
      </w:pPr>
      <w:r>
        <w:rPr>
          <w:sz w:val="22"/>
        </w:rPr>
        <w:t>L</w:t>
      </w:r>
      <w:r>
        <w:rPr>
          <w:sz w:val="22"/>
          <w:vertAlign w:val="subscript"/>
        </w:rPr>
        <w:t>ch</w:t>
      </w:r>
      <w:r>
        <w:rPr>
          <w:sz w:val="22"/>
        </w:rPr>
        <w:t xml:space="preserve"> = the hourly load for Customer c integrated over hour h</w:t>
      </w:r>
    </w:p>
    <w:p>
      <w:pPr>
        <w:pStyle w:val="Normal"/>
        <w:ind w:start="1038" w:end="0"/>
        <w:rPr/>
      </w:pPr>
      <w:r>
        <w:rPr>
          <w:sz w:val="22"/>
        </w:rPr>
        <w:t>LF</w:t>
      </w:r>
      <w:r>
        <w:rPr>
          <w:sz w:val="22"/>
          <w:vertAlign w:val="subscript"/>
        </w:rPr>
        <w:t>lh</w:t>
      </w:r>
      <w:r>
        <w:rPr>
          <w:sz w:val="22"/>
        </w:rPr>
        <w:t xml:space="preserve"> = the loss factor for loss class l in hour h </w:t>
      </w:r>
    </w:p>
    <w:p>
      <w:pPr>
        <w:pStyle w:val="Normal"/>
        <w:ind w:start="1038" w:end="0"/>
        <w:rPr/>
      </w:pPr>
      <w:r>
        <w:rPr>
          <w:sz w:val="22"/>
        </w:rPr>
        <w:t>CDR</w:t>
      </w:r>
      <w:r>
        <w:rPr>
          <w:sz w:val="22"/>
          <w:vertAlign w:val="subscript"/>
        </w:rPr>
        <w:t>cli</w:t>
      </w:r>
      <w:r>
        <w:rPr>
          <w:sz w:val="22"/>
        </w:rPr>
        <w:t xml:space="preserve"> = the latest available month’s PJM Interconnection Administrative Services (including, Scheduling, System Control &amp; Dispatch Service) Rate, expressed on a kWh basis, for Customer c in loss class l for each service component rate element i    </w:t>
      </w:r>
    </w:p>
    <w:p>
      <w:pPr>
        <w:pStyle w:val="Normal"/>
        <w:ind w:firstLine="145" w:start="893" w:end="0"/>
        <w:rPr>
          <w:sz w:val="22"/>
        </w:rPr>
      </w:pPr>
      <w:r>
        <w:rPr>
          <w:sz w:val="22"/>
        </w:rPr>
        <w:t xml:space="preserve">The summation is over the total hours in the billing period. </w:t>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080" w:right="1080" w:gutter="720" w:header="893" w:top="1181" w:footer="600" w:bottom="1181"/>
          <w:pgNumType w:fmt="decimal"/>
          <w:formProt w:val="false"/>
          <w:textDirection w:val="lrTb"/>
          <w:docGrid w:type="default" w:linePitch="360" w:charSpace="0"/>
        </w:sectPr>
        <w:pStyle w:val="Normal"/>
        <w:spacing w:lineRule="exact" w:line="240" w:before="0" w:after="60"/>
        <w:ind w:hanging="173" w:start="173" w:end="0"/>
        <w:jc w:val="center"/>
        <w:rPr/>
      </w:pPr>
      <w:r>
        <w:rPr>
          <w:sz w:val="22"/>
        </w:rPr>
        <w:t xml:space="preserve">For Customers </w:t>
      </w:r>
      <w:r>
        <w:rPr>
          <w:b/>
          <w:sz w:val="22"/>
        </w:rPr>
        <w:t xml:space="preserve">without </w:t>
      </w:r>
      <w:r>
        <w:rPr>
          <w:sz w:val="22"/>
        </w:rPr>
        <w:t>hourly meters, the average customer load for the profile class will be used in place of the actual load (L</w:t>
      </w:r>
      <w:r>
        <w:rPr>
          <w:sz w:val="22"/>
          <w:vertAlign w:val="subscript"/>
        </w:rPr>
        <w:t>ch</w:t>
      </w:r>
      <w:r>
        <w:rPr>
          <w:sz w:val="22"/>
        </w:rPr>
        <w:t>). (Continued on Next Page)</w:t>
      </w:r>
    </w:p>
    <w:p>
      <w:pPr>
        <w:pStyle w:val="Normal"/>
        <w:ind w:start="1080" w:end="0"/>
        <w:rPr>
          <w:sz w:val="22"/>
        </w:rPr>
      </w:pPr>
      <w:r>
        <w:rPr>
          <w:sz w:val="22"/>
        </w:rPr>
      </w:r>
    </w:p>
    <w:p>
      <w:pPr>
        <w:pStyle w:val="SUBTITLE1"/>
        <w:spacing w:before="0" w:after="0"/>
        <w:rPr>
          <w:rFonts w:ascii="Times New Roman" w:hAnsi="Times New Roman" w:cs="Times New Roman"/>
          <w:b w:val="false"/>
          <w:i/>
          <w:i/>
          <w:sz w:val="22"/>
        </w:rPr>
      </w:pPr>
      <w:r>
        <w:rPr>
          <w:rFonts w:cs="Times New Roman" w:ascii="Times New Roman" w:hAnsi="Times New Roman"/>
          <w:b w:val="false"/>
          <w:i/>
          <w:sz w:val="22"/>
        </w:rPr>
        <w:t>Schedule DS continued</w:t>
      </w:r>
    </w:p>
    <w:p>
      <w:pPr>
        <w:pStyle w:val="SUBTITLE1"/>
        <w:spacing w:before="0" w:after="0"/>
        <w:rPr>
          <w:rFonts w:ascii="Times New Roman" w:hAnsi="Times New Roman" w:cs="Times New Roman"/>
          <w:b w:val="false"/>
          <w:i/>
          <w:i/>
          <w:sz w:val="22"/>
        </w:rPr>
      </w:pPr>
      <w:r>
        <w:rPr>
          <w:rFonts w:cs="Times New Roman" w:ascii="Times New Roman" w:hAnsi="Times New Roman"/>
          <w:b w:val="false"/>
          <w:i/>
          <w:sz w:val="22"/>
        </w:rPr>
      </w:r>
    </w:p>
    <w:p>
      <w:pPr>
        <w:pStyle w:val="Heading1"/>
        <w:tabs>
          <w:tab w:val="clear" w:pos="173"/>
          <w:tab w:val="left" w:pos="792" w:leader="none"/>
        </w:tabs>
        <w:ind w:hanging="432" w:start="792" w:end="0"/>
        <w:jc w:val="start"/>
        <w:rPr/>
      </w:pPr>
      <w:r>
        <w:rPr>
          <w:sz w:val="22"/>
        </w:rPr>
        <w:t xml:space="preserve">Reactive Supply and Voltage Control: </w:t>
      </w:r>
      <w:r>
        <w:rPr>
          <w:b w:val="false"/>
          <w:sz w:val="22"/>
        </w:rPr>
        <w:t>Reactive Supply and Voltage Control Service is a demand-based service charged at a tariff rate.  This tariff rate is set forth in the PJM Open Access Transmission Tariff in Schedule 2 for BGE.  This rate is applied to the Customer's contribution to the BC (BGE) zonal peak.  The rate is determined as:</w:t>
      </w:r>
    </w:p>
    <w:p>
      <w:pPr>
        <w:pStyle w:val="Normal"/>
        <w:rPr>
          <w:b/>
          <w:sz w:val="22"/>
        </w:rPr>
      </w:pPr>
      <w:r>
        <w:rPr>
          <w:b/>
          <w:sz w:val="22"/>
        </w:rPr>
      </w:r>
    </w:p>
    <w:p>
      <w:pPr>
        <w:pStyle w:val="Normal"/>
        <w:ind w:start="865" w:end="0"/>
        <w:rPr/>
      </w:pPr>
      <w:r>
        <w:rPr>
          <w:b/>
          <w:sz w:val="22"/>
        </w:rPr>
        <w:t>RS</w:t>
      </w:r>
      <w:r>
        <w:rPr>
          <w:b/>
          <w:sz w:val="22"/>
          <w:vertAlign w:val="subscript"/>
        </w:rPr>
        <w:t>c</w:t>
      </w:r>
      <w:r>
        <w:rPr>
          <w:b/>
          <w:sz w:val="22"/>
        </w:rPr>
        <w:t xml:space="preserve"> = (CZP</w:t>
      </w:r>
      <w:r>
        <w:rPr>
          <w:b/>
          <w:sz w:val="22"/>
          <w:vertAlign w:val="subscript"/>
        </w:rPr>
        <w:t>c</w:t>
      </w:r>
      <w:r>
        <w:rPr>
          <w:b/>
          <w:sz w:val="22"/>
        </w:rPr>
        <w:t xml:space="preserve">*DRS*H) </w:t>
      </w:r>
      <w:r>
        <w:rPr>
          <w:rFonts w:eastAsia="Symbol" w:cs="Symbol" w:ascii="Symbol" w:hAnsi="Symbol"/>
          <w:b/>
          <w:sz w:val="22"/>
        </w:rPr>
        <w:sym w:font="Symbol" w:char="f0b8"/>
        <w:sym w:font="Symbol" w:char="f053"/>
      </w:r>
      <w:r>
        <w:rPr>
          <w:b/>
          <w:sz w:val="22"/>
        </w:rPr>
        <w:t>L</w:t>
      </w:r>
      <w:r>
        <w:rPr>
          <w:b/>
          <w:sz w:val="22"/>
          <w:vertAlign w:val="subscript"/>
        </w:rPr>
        <w:t>ch</w:t>
      </w:r>
    </w:p>
    <w:p>
      <w:pPr>
        <w:pStyle w:val="Normal"/>
        <w:ind w:start="720" w:end="0"/>
        <w:rPr>
          <w:b/>
          <w:sz w:val="16"/>
          <w:vertAlign w:val="subscript"/>
        </w:rPr>
      </w:pPr>
      <w:r>
        <w:rPr>
          <w:b/>
          <w:sz w:val="16"/>
          <w:vertAlign w:val="subscript"/>
        </w:rPr>
      </w:r>
    </w:p>
    <w:p>
      <w:pPr>
        <w:pStyle w:val="Normal"/>
        <w:ind w:start="865" w:end="0"/>
        <w:rPr>
          <w:sz w:val="22"/>
        </w:rPr>
      </w:pPr>
      <w:r>
        <w:rPr>
          <w:sz w:val="22"/>
        </w:rPr>
        <w:t>Where:</w:t>
      </w:r>
    </w:p>
    <w:p>
      <w:pPr>
        <w:pStyle w:val="Normal"/>
        <w:ind w:start="1038" w:end="0"/>
        <w:rPr>
          <w:sz w:val="22"/>
        </w:rPr>
      </w:pPr>
      <w:r>
        <w:rPr>
          <w:sz w:val="22"/>
        </w:rPr>
        <w:t>RSc = the Reactive Supply and Voltage Control Service Component for Customer c</w:t>
      </w:r>
    </w:p>
    <w:p>
      <w:pPr>
        <w:pStyle w:val="Normal"/>
        <w:ind w:start="1038" w:end="0"/>
        <w:rPr/>
      </w:pPr>
      <w:r>
        <w:rPr>
          <w:sz w:val="22"/>
        </w:rPr>
        <w:t>CZP</w:t>
      </w:r>
      <w:r>
        <w:rPr>
          <w:sz w:val="22"/>
          <w:vertAlign w:val="subscript"/>
        </w:rPr>
        <w:t>c</w:t>
      </w:r>
      <w:r>
        <w:rPr>
          <w:sz w:val="22"/>
        </w:rPr>
        <w:t xml:space="preserve"> = the contribution to the BC (BGE) zonal peak for Customer c</w:t>
      </w:r>
    </w:p>
    <w:p>
      <w:pPr>
        <w:pStyle w:val="BodyTextIndent3"/>
        <w:rPr/>
      </w:pPr>
      <w:r>
        <w:rPr/>
        <w:t>DRS = the Daily Reactive Supply and Voltage Control Service Rate for the Baltimore zone as published in the PJM OATT in Schedule 2.</w:t>
      </w:r>
    </w:p>
    <w:p>
      <w:pPr>
        <w:pStyle w:val="Normal"/>
        <w:ind w:start="1038" w:end="0"/>
        <w:rPr>
          <w:sz w:val="22"/>
        </w:rPr>
      </w:pPr>
      <w:r>
        <w:rPr>
          <w:sz w:val="22"/>
        </w:rPr>
        <w:t>H = the number of days in the billing period for Customer c</w:t>
      </w:r>
    </w:p>
    <w:p>
      <w:pPr>
        <w:pStyle w:val="Normal"/>
        <w:ind w:start="1038" w:end="0"/>
        <w:rPr/>
      </w:pPr>
      <w:r>
        <w:rPr>
          <w:sz w:val="22"/>
        </w:rPr>
        <w:t>L</w:t>
      </w:r>
      <w:r>
        <w:rPr>
          <w:sz w:val="22"/>
          <w:vertAlign w:val="subscript"/>
        </w:rPr>
        <w:t>ch</w:t>
      </w:r>
      <w:r>
        <w:rPr>
          <w:sz w:val="22"/>
        </w:rPr>
        <w:t xml:space="preserve"> = hourly loads for Customer c for the billing period</w:t>
      </w:r>
    </w:p>
    <w:p>
      <w:pPr>
        <w:pStyle w:val="Normal"/>
        <w:ind w:start="1038" w:end="0"/>
        <w:rPr>
          <w:sz w:val="24"/>
        </w:rPr>
      </w:pPr>
      <w:r>
        <w:rPr>
          <w:sz w:val="24"/>
        </w:rPr>
      </w:r>
    </w:p>
    <w:p>
      <w:pPr>
        <w:pStyle w:val="Heading4"/>
        <w:jc w:val="both"/>
        <w:rPr/>
      </w:pPr>
      <w:r>
        <w:rPr/>
        <w:t>Fixed Retail Adder:</w:t>
      </w:r>
      <w:r>
        <w:rPr>
          <w:sz w:val="22"/>
        </w:rPr>
        <w:t xml:space="preserve"> </w:t>
      </w:r>
      <w:r>
        <w:rPr>
          <w:b w:val="false"/>
          <w:sz w:val="22"/>
        </w:rPr>
        <w:t xml:space="preserve">A fixed retail adder of $0.007/kWh will be assessed on all sales under this Schedule. </w:t>
      </w:r>
    </w:p>
    <w:p>
      <w:pPr>
        <w:pStyle w:val="Normal"/>
        <w:ind w:start="720" w:end="0"/>
        <w:rPr>
          <w:b/>
          <w:sz w:val="22"/>
        </w:rPr>
      </w:pPr>
      <w:r>
        <w:rPr>
          <w:b/>
          <w:sz w:val="22"/>
        </w:rPr>
      </w:r>
    </w:p>
    <w:p>
      <w:pPr>
        <w:pStyle w:val="Normal"/>
        <w:ind w:hanging="720" w:start="720" w:end="0"/>
        <w:rPr/>
      </w:pPr>
      <w:r>
        <w:rPr>
          <w:b/>
          <w:sz w:val="24"/>
        </w:rPr>
        <w:t xml:space="preserve">Late Payment Charge: </w:t>
      </w:r>
      <w:r>
        <w:rPr>
          <w:sz w:val="22"/>
        </w:rPr>
        <w:t>Standard. (Sec. 7.4)</w:t>
      </w:r>
    </w:p>
    <w:p>
      <w:pPr>
        <w:pStyle w:val="Normal"/>
        <w:ind w:hanging="720" w:start="720" w:end="0"/>
        <w:rPr/>
      </w:pPr>
      <w:r>
        <w:rPr>
          <w:b/>
          <w:sz w:val="24"/>
        </w:rPr>
        <w:t xml:space="preserve">Payment Terms: </w:t>
      </w:r>
      <w:r>
        <w:rPr>
          <w:sz w:val="22"/>
        </w:rPr>
        <w:t>Standard (Sec. 7)</w:t>
      </w:r>
    </w:p>
    <w:p>
      <w:pPr>
        <w:pStyle w:val="Normal"/>
        <w:ind w:hanging="720" w:start="720" w:end="0"/>
        <w:rPr>
          <w:b/>
          <w:sz w:val="24"/>
        </w:rPr>
      </w:pPr>
      <w:r>
        <w:rPr>
          <w:b/>
          <w:sz w:val="24"/>
        </w:rPr>
      </w:r>
    </w:p>
    <w:p>
      <w:pPr>
        <w:pStyle w:val="Normal"/>
        <w:ind w:hanging="720" w:start="720" w:end="0"/>
        <w:jc w:val="center"/>
        <w:rPr>
          <w:b/>
          <w:sz w:val="24"/>
        </w:rPr>
      </w:pPr>
      <w:r>
        <w:rPr>
          <w:b/>
          <w:sz w:val="24"/>
        </w:rPr>
        <w:t>Subject to Riders applicable as listed below</w:t>
      </w:r>
    </w:p>
    <w:p>
      <w:pPr>
        <w:pStyle w:val="Heading3"/>
        <w:numPr>
          <w:ilvl w:val="0"/>
          <w:numId w:val="4"/>
        </w:numPr>
        <w:spacing w:before="0" w:after="0"/>
        <w:rPr>
          <w:rFonts w:ascii="Times New Roman" w:hAnsi="Times New Roman" w:cs="Times New Roman"/>
          <w:sz w:val="22"/>
        </w:rPr>
      </w:pPr>
      <w:r>
        <w:rPr>
          <w:rFonts w:cs="Times New Roman" w:ascii="Times New Roman" w:hAnsi="Times New Roman"/>
          <w:sz w:val="22"/>
        </w:rPr>
        <w:t>Standard Offer Service</w:t>
      </w:r>
    </w:p>
    <w:p>
      <w:pPr>
        <w:pStyle w:val="Normal"/>
        <w:ind w:start="2880" w:end="0"/>
        <w:rPr>
          <w:sz w:val="22"/>
        </w:rPr>
      </w:pPr>
      <w:r>
        <w:rPr>
          <w:sz w:val="22"/>
        </w:rPr>
        <w:t>2.</w:t>
        <w:tab/>
        <w:tab/>
        <w:t>Competitive Transition Charge</w:t>
      </w:r>
    </w:p>
    <w:p>
      <w:pPr>
        <w:pStyle w:val="Normal"/>
        <w:ind w:start="2880" w:end="0"/>
        <w:rPr>
          <w:sz w:val="22"/>
        </w:rPr>
      </w:pPr>
      <w:r>
        <w:rPr>
          <w:sz w:val="22"/>
        </w:rPr>
        <w:t>3.</w:t>
        <w:tab/>
        <w:tab/>
        <w:t>Miscellaneous Taxes and Surcharges</w:t>
      </w:r>
    </w:p>
    <w:p>
      <w:pPr>
        <w:pStyle w:val="Normal"/>
        <w:ind w:start="2880" w:end="0"/>
        <w:rPr>
          <w:sz w:val="22"/>
        </w:rPr>
      </w:pPr>
      <w:r>
        <w:rPr>
          <w:sz w:val="22"/>
        </w:rPr>
        <w:t>9.</w:t>
        <w:tab/>
        <w:tab/>
        <w:t>Customer Billing and Consumption Data Requests</w:t>
      </w:r>
    </w:p>
    <w:p>
      <w:pPr>
        <w:pStyle w:val="Normal"/>
        <w:ind w:start="2880" w:end="0"/>
        <w:rPr>
          <w:sz w:val="22"/>
        </w:rPr>
      </w:pPr>
      <w:r>
        <w:rPr>
          <w:sz w:val="22"/>
        </w:rPr>
        <w:t>11.  Measured Demand</w:t>
      </w:r>
    </w:p>
    <w:p>
      <w:pPr>
        <w:pStyle w:val="Normal"/>
        <w:ind w:start="2880" w:end="0"/>
        <w:rPr>
          <w:sz w:val="22"/>
        </w:rPr>
      </w:pPr>
      <w:r>
        <w:rPr>
          <w:sz w:val="22"/>
        </w:rPr>
        <w:t>13.  Change of Schedule</w:t>
      </w:r>
    </w:p>
    <w:p>
      <w:pPr>
        <w:pStyle w:val="Normal"/>
        <w:ind w:start="2880" w:end="0"/>
        <w:rPr>
          <w:sz w:val="22"/>
        </w:rPr>
      </w:pPr>
      <w:r>
        <w:rPr>
          <w:sz w:val="22"/>
        </w:rPr>
        <w:t>19.  Demonstration and Trial Installations</w:t>
      </w:r>
    </w:p>
    <w:p>
      <w:pPr>
        <w:pStyle w:val="Normal"/>
        <w:ind w:firstLine="720" w:start="2160" w:end="0"/>
        <w:rPr>
          <w:sz w:val="22"/>
        </w:rPr>
      </w:pPr>
      <w:r>
        <w:rPr>
          <w:sz w:val="22"/>
        </w:rPr>
        <w:t>21.  Billing in the Event of Service Interruption</w:t>
      </w:r>
    </w:p>
    <w:p>
      <w:pPr>
        <w:pStyle w:val="Normal"/>
        <w:numPr>
          <w:ilvl w:val="0"/>
          <w:numId w:val="2"/>
        </w:numPr>
        <w:rPr>
          <w:sz w:val="22"/>
        </w:rPr>
      </w:pPr>
      <w:r>
        <w:rPr>
          <w:sz w:val="22"/>
        </w:rPr>
        <w:t>Minimum Charge for Short-Term Uses</w:t>
      </w:r>
    </w:p>
    <w:p>
      <w:pPr>
        <w:pStyle w:val="Normal"/>
        <w:numPr>
          <w:ilvl w:val="0"/>
          <w:numId w:val="2"/>
        </w:numPr>
        <w:rPr>
          <w:sz w:val="22"/>
        </w:rPr>
      </w:pPr>
      <w:r>
        <w:rPr>
          <w:sz w:val="22"/>
        </w:rPr>
        <w:t>Advanced Meter Services</w:t>
      </w:r>
    </w:p>
    <w:p>
      <w:pPr>
        <w:pStyle w:val="SUBTITLE1"/>
        <w:ind w:start="3053" w:end="0"/>
        <w:rPr>
          <w:rFonts w:ascii="Times New Roman" w:hAnsi="Times New Roman" w:cs="Times New Roman"/>
          <w:b w:val="false"/>
        </w:rPr>
      </w:pPr>
      <w:r>
        <w:rPr>
          <w:rFonts w:cs="Times New Roman" w:ascii="Times New Roman" w:hAnsi="Times New Roman"/>
          <w:b w:val="false"/>
        </w:rPr>
        <w:t>25.</w:t>
        <w:tab/>
        <w:t>Deferred Fuel Costs Surcharge</w:t>
      </w:r>
    </w:p>
    <w:p>
      <w:pPr>
        <w:pStyle w:val="Normal"/>
        <w:ind w:hanging="173" w:start="893" w:end="0"/>
        <w:rPr>
          <w:rFonts w:ascii="Times New Roman" w:hAnsi="Times New Roman" w:cs="Times New Roman"/>
          <w:b/>
          <w:sz w:val="22"/>
        </w:rPr>
      </w:pPr>
      <w:r>
        <w:rPr>
          <w:rFonts w:cs="Times New Roman"/>
          <w:b/>
          <w:sz w:val="22"/>
        </w:rPr>
      </w:r>
    </w:p>
    <w:p>
      <w:pPr>
        <w:pStyle w:val="Normal"/>
        <w:ind w:start="720" w:end="0"/>
        <w:rPr>
          <w:sz w:val="22"/>
        </w:rPr>
      </w:pPr>
      <w:r>
        <w:rPr>
          <w:sz w:val="22"/>
        </w:rPr>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080" w:right="1080" w:gutter="720" w:header="893" w:top="1181" w:footer="840" w:bottom="11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NewCenturySchlb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t>____________________________________________________________________________________________</w:t>
    </w:r>
  </w:p>
  <w:p>
    <w:pPr>
      <w:pStyle w:val="Normal"/>
      <w:rPr/>
    </w:pPr>
    <w:r>
      <w:rPr/>
      <w:t>P. S. C. Md.-- E-6 (Suppl. 351)                                                                              Filed 07/23/01 -- Effective 09/05/01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rPr/>
    </w:pPr>
    <w:r>
      <w:rPr/>
      <w:t>P. S. C. Md.-- E-6 (Suppl. 351)                                                                              Filed 07/23/01 -- Effective 09/05/01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rPr/>
    </w:pPr>
    <w:r>
      <w:rPr/>
      <w:t>P. S. C. Md.-- E-6 (Suppl. 351)                                                                              Filed 07/23/01 -- Effective 09/05/01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1080"/>
      <w:rPr>
        <w:u w:val="single"/>
      </w:rPr>
    </w:pPr>
    <w:r>
      <w:rPr>
        <w:u w:val="single"/>
      </w:rPr>
      <w:t xml:space="preserve">                                                                                                                         </w:t>
    </w:r>
    <w:r>
      <w:rPr>
        <w:u w:val="single"/>
      </w:rPr>
      <w:t>____                                                       .</w:t>
    </w:r>
  </w:p>
  <w:p>
    <w:pPr>
      <w:pStyle w:val="Normal"/>
      <w:ind w:end="-1080"/>
      <w:rPr/>
    </w:pPr>
    <w:r>
      <w:rPr/>
      <w:t>P. S. C. Md.-- E-6 (Suppl. 351)                                                                                Filed 07/23/01 – Effective09/05/01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rPr/>
    </w:pPr>
    <w:r>
      <w:rPr/>
      <w:t>P. S. C. Md.-- E-6 (Suppl. 351)                                                                              Filed 07/23/01 -- Effective 09/05/01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1080"/>
      <w:rPr>
        <w:u w:val="single"/>
      </w:rPr>
    </w:pPr>
    <w:r>
      <w:rPr>
        <w:u w:val="single"/>
      </w:rPr>
      <w:t xml:space="preserve">                                                                                                                         </w:t>
    </w:r>
    <w:r>
      <w:rPr>
        <w:u w:val="single"/>
      </w:rPr>
      <w:t>____                                                       .</w:t>
    </w:r>
  </w:p>
  <w:p>
    <w:pPr>
      <w:pStyle w:val="Normal"/>
      <w:ind w:end="-1080"/>
      <w:rPr/>
    </w:pPr>
    <w:r>
      <w:rPr/>
      <w:t>P. S. C. Md.-- E-6 (Suppl. 351)                                                                                Filed 07/23/01 – Effective09/05/01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t>68                                                                                           Electric -- Retail – Baltimore Gas and Electric Company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u w:val="single"/>
      </w:rPr>
    </w:pPr>
    <w:r>
      <w:rPr>
        <w:u w:val="single"/>
      </w:rPr>
      <w:t>Baltimore Gas and Electric Company – Electric -- Retail                                                                                           67</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u w:val="single"/>
      </w:rPr>
    </w:pPr>
    <w:r>
      <w:rPr>
        <w:u w:val="single"/>
      </w:rPr>
      <w:t>62                                                                                           Electric – Retail -- Baltimore Gas and Electric Company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u w:val="single"/>
      </w:rPr>
    </w:pPr>
    <w:r>
      <w:rPr>
        <w:u w:val="single"/>
      </w:rPr>
      <w:t>Baltimore Gas and Electric Company – Electric -- Retail                                                                                           69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u w:val="single"/>
      </w:rPr>
    </w:pPr>
    <w:r>
      <w:rPr>
        <w:u w:val="single"/>
      </w:rPr>
      <w:t>70                                                                                           Electric – Retail -- Baltimore Gas and Electric Company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t>Baltimore Gas and Electric Company – Electric -- Retail                                                                                           71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2"/>
      <w:numFmt w:val="decimal"/>
      <w:lvlText w:val="%1."/>
      <w:lvlJc w:val="start"/>
      <w:pPr>
        <w:tabs>
          <w:tab w:val="num" w:pos="3270"/>
        </w:tabs>
        <w:ind w:start="3270" w:hanging="390"/>
      </w:pPr>
      <w:rPr/>
    </w:lvl>
  </w:abstractNum>
  <w:abstractNum w:abstractNumId="3">
    <w:lvl w:ilvl="0">
      <w:start w:val="1"/>
      <w:numFmt w:val="lowerLetter"/>
      <w:lvlText w:val="(%1)"/>
      <w:lvlJc w:val="start"/>
      <w:pPr>
        <w:tabs>
          <w:tab w:val="num" w:pos="360"/>
        </w:tabs>
        <w:ind w:start="706" w:hanging="360"/>
      </w:pPr>
    </w:lvl>
  </w:abstractNum>
  <w:abstractNum w:abstractNumId="4">
    <w:lvl w:ilvl="0">
      <w:start w:val="1"/>
      <w:numFmt w:val="decimal"/>
      <w:lvlText w:val="%1."/>
      <w:lvlJc w:val="start"/>
      <w:pPr>
        <w:tabs>
          <w:tab w:val="num" w:pos="3285"/>
        </w:tabs>
        <w:ind w:start="3285" w:hanging="40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173"/>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outlineLvl w:val="1"/>
    </w:pPr>
    <w:rPr>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ind w:hanging="720" w:start="720" w:end="0"/>
      <w:outlineLvl w:val="3"/>
    </w:pPr>
    <w:rPr>
      <w:b/>
      <w:sz w:val="24"/>
    </w:rPr>
  </w:style>
  <w:style w:type="character" w:styleId="WW8Num2z0">
    <w:name w:val="WW8Num2z0"/>
    <w:qFormat/>
    <w:rPr>
      <w:b w:val="false"/>
      <w:i w:val="false"/>
      <w:sz w:val="22"/>
    </w:rPr>
  </w:style>
  <w:style w:type="character" w:styleId="WW8Num4z0">
    <w:name w:val="WW8Num4z0"/>
    <w:qFormat/>
    <w:rPr>
      <w:b w:val="false"/>
      <w:i w:val="false"/>
      <w:sz w:val="22"/>
    </w:rPr>
  </w:style>
  <w:style w:type="character" w:styleId="WW8Num7z0">
    <w:name w:val="WW8Num7z0"/>
    <w:qFormat/>
    <w:rPr>
      <w:b w:val="false"/>
      <w:i w:val="false"/>
      <w:sz w:val="22"/>
    </w:rPr>
  </w:style>
  <w:style w:type="character" w:styleId="WW8Num12z0">
    <w:name w:val="WW8Num12z0"/>
    <w:qFormat/>
    <w:rPr>
      <w:b w:val="false"/>
      <w:i w:val="false"/>
      <w:sz w:val="22"/>
    </w:rPr>
  </w:style>
  <w:style w:type="character" w:styleId="WW8Num13z0">
    <w:name w:val="WW8Num13z0"/>
    <w:qFormat/>
    <w:rPr/>
  </w:style>
  <w:style w:type="character" w:styleId="WW8Num15z0">
    <w:name w:val="WW8Num15z0"/>
    <w:qFormat/>
    <w:rPr/>
  </w:style>
  <w:style w:type="character" w:styleId="WW8Num20z0">
    <w:name w:val="WW8Num20z0"/>
    <w:qFormat/>
    <w:rPr>
      <w:b w:val="false"/>
      <w:i w:val="false"/>
      <w:sz w:val="22"/>
    </w:rPr>
  </w:style>
  <w:style w:type="character" w:styleId="WW8Num21z0">
    <w:name w:val="WW8Num21z0"/>
    <w:qFormat/>
    <w:rPr/>
  </w:style>
  <w:style w:type="character" w:styleId="WW8NumSt22z0">
    <w:name w:val="WW8NumSt22z0"/>
    <w:qFormat/>
    <w:rPr>
      <w:b w:val="false"/>
      <w:i w:val="false"/>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TITLE-SPACEDLETTERING">
    <w:name w:val="MAIN TITLE-SPACED LETTERING"/>
    <w:qFormat/>
    <w:pPr>
      <w:widowControl/>
      <w:bidi w:val="0"/>
      <w:jc w:val="center"/>
    </w:pPr>
    <w:rPr>
      <w:rFonts w:ascii="NewCenturySchlbk" w:hAnsi="NewCenturySchlbk" w:eastAsia="Times New Roman" w:cs="NewCenturySchlbk"/>
      <w:b/>
      <w:color w:val="auto"/>
      <w:sz w:val="22"/>
      <w:szCs w:val="20"/>
      <w:lang w:val="en-US" w:eastAsia="zh-CN" w:bidi="hi-IN"/>
    </w:rPr>
  </w:style>
  <w:style w:type="paragraph" w:styleId="SCHEDULETITLE">
    <w:name w:val="SCHEDULE TITLE"/>
    <w:qFormat/>
    <w:pPr>
      <w:widowControl/>
      <w:bidi w:val="0"/>
      <w:jc w:val="center"/>
    </w:pPr>
    <w:rPr>
      <w:rFonts w:ascii="NewCenturySchlbk" w:hAnsi="NewCenturySchlbk" w:eastAsia="Times New Roman" w:cs="NewCenturySchlbk"/>
      <w:b/>
      <w:caps/>
      <w:color w:val="auto"/>
      <w:sz w:val="20"/>
      <w:szCs w:val="20"/>
      <w:lang w:val="en-US" w:eastAsia="zh-CN" w:bidi="hi-IN"/>
    </w:rPr>
  </w:style>
  <w:style w:type="paragraph" w:styleId="SUBTITLE1">
    <w:name w:val="SUBTITLE 1"/>
    <w:qFormat/>
    <w:pPr>
      <w:widowControl/>
      <w:bidi w:val="0"/>
      <w:spacing w:lineRule="exact" w:line="240" w:before="0" w:after="60"/>
      <w:ind w:hanging="173" w:start="173" w:end="0"/>
      <w:jc w:val="both"/>
    </w:pPr>
    <w:rPr>
      <w:rFonts w:ascii="NewCenturySchlbk" w:hAnsi="NewCenturySchlbk" w:eastAsia="Times New Roman" w:cs="NewCenturySchlbk"/>
      <w:b/>
      <w:color w:val="auto"/>
      <w:sz w:val="20"/>
      <w:szCs w:val="20"/>
      <w:lang w:val="en-US" w:eastAsia="zh-CN" w:bidi="hi-IN"/>
    </w:rPr>
  </w:style>
  <w:style w:type="paragraph" w:styleId="SUBTEXT1a">
    <w:name w:val="SUBTEXT 1 ( a"/>
    <w:qFormat/>
    <w:pPr>
      <w:widowControl/>
      <w:tabs>
        <w:tab w:val="left" w:pos="173" w:leader="none"/>
        <w:tab w:val="left" w:pos="346" w:leader="none"/>
        <w:tab w:val="left" w:pos="519" w:leader="none"/>
      </w:tabs>
      <w:bidi w:val="0"/>
      <w:spacing w:lineRule="exact" w:line="240" w:before="0" w:after="60"/>
      <w:ind w:hanging="691" w:start="691" w:end="0"/>
      <w:jc w:val="both"/>
    </w:pPr>
    <w:rPr>
      <w:rFonts w:ascii="NewCenturySchlbk" w:hAnsi="NewCenturySchlbk" w:eastAsia="Times New Roman" w:cs="NewCenturySchlbk"/>
      <w:color w:val="auto"/>
      <w:sz w:val="20"/>
      <w:szCs w:val="20"/>
      <w:lang w:val="en-US" w:eastAsia="zh-CN" w:bidi="hi-IN"/>
    </w:rPr>
  </w:style>
  <w:style w:type="paragraph" w:styleId="subtext21">
    <w:name w:val="subtext 2 ( 1"/>
    <w:qFormat/>
    <w:pPr>
      <w:widowControl/>
      <w:tabs>
        <w:tab w:val="left" w:pos="173" w:leader="none"/>
        <w:tab w:val="left" w:pos="346" w:leader="none"/>
        <w:tab w:val="left" w:pos="519" w:leader="none"/>
        <w:tab w:val="left" w:pos="692" w:leader="none"/>
      </w:tabs>
      <w:bidi w:val="0"/>
      <w:spacing w:lineRule="exact" w:line="240" w:before="0" w:after="60"/>
      <w:ind w:hanging="864" w:start="864" w:end="0"/>
      <w:jc w:val="both"/>
    </w:pPr>
    <w:rPr>
      <w:rFonts w:ascii="NewCenturySchlbk" w:hAnsi="NewCenturySchlbk" w:eastAsia="Times New Roman" w:cs="NewCenturySchlbk"/>
      <w:color w:val="auto"/>
      <w:sz w:val="20"/>
      <w:szCs w:val="20"/>
      <w:lang w:val="en-US" w:eastAsia="zh-CN" w:bidi="hi-IN"/>
    </w:rPr>
  </w:style>
  <w:style w:type="paragraph" w:styleId="subjecttoriderstitle">
    <w:name w:val="subject to riders title"/>
    <w:qFormat/>
    <w:pPr>
      <w:widowControl/>
      <w:bidi w:val="0"/>
      <w:spacing w:lineRule="exact" w:line="240" w:before="0" w:after="120"/>
      <w:ind w:hanging="0" w:start="1800" w:end="0"/>
      <w:jc w:val="both"/>
    </w:pPr>
    <w:rPr>
      <w:rFonts w:ascii="NewCenturySchlbk" w:hAnsi="NewCenturySchlbk" w:eastAsia="Times New Roman" w:cs="NewCenturySchlbk"/>
      <w:color w:val="auto"/>
      <w:sz w:val="20"/>
      <w:szCs w:val="20"/>
      <w:lang w:val="en-US" w:eastAsia="zh-CN" w:bidi="hi-IN"/>
    </w:rPr>
  </w:style>
  <w:style w:type="paragraph" w:styleId="ridersapplicable">
    <w:name w:val="riders applicable"/>
    <w:qFormat/>
    <w:pPr>
      <w:widowControl/>
      <w:bidi w:val="0"/>
      <w:spacing w:lineRule="exact" w:line="240" w:before="0" w:after="60"/>
      <w:ind w:hanging="0" w:start="2520" w:end="0"/>
    </w:pPr>
    <w:rPr>
      <w:rFonts w:ascii="NewCenturySchlbk" w:hAnsi="NewCenturySchlbk" w:eastAsia="Times New Roman" w:cs="NewCenturySchlbk"/>
      <w:color w:val="auto"/>
      <w:sz w:val="20"/>
      <w:szCs w:val="20"/>
      <w:lang w:val="en-US" w:eastAsia="zh-CN" w:bidi="hi-IN"/>
    </w:rPr>
  </w:style>
  <w:style w:type="paragraph" w:styleId="S1">
    <w:name w:val="S1"/>
    <w:qFormat/>
    <w:pPr>
      <w:widowControl/>
      <w:bidi w:val="0"/>
      <w:ind w:hanging="0" w:start="3960" w:end="3240"/>
      <w:jc w:val="center"/>
    </w:pPr>
    <w:rPr>
      <w:rFonts w:ascii="NewCenturySchlbk" w:hAnsi="NewCenturySchlbk" w:eastAsia="Times New Roman" w:cs="NewCenturySchlbk"/>
      <w:color w:val="auto"/>
      <w:sz w:val="20"/>
      <w:szCs w:val="20"/>
      <w:lang w:val="en-US" w:eastAsia="zh-CN" w:bidi="hi-IN"/>
    </w:rPr>
  </w:style>
  <w:style w:type="paragraph" w:styleId="S2">
    <w:name w:val="S2"/>
    <w:qFormat/>
    <w:pPr>
      <w:widowControl/>
      <w:bidi w:val="0"/>
      <w:ind w:hanging="0" w:start="5760" w:end="0"/>
      <w:jc w:val="center"/>
    </w:pPr>
    <w:rPr>
      <w:rFonts w:ascii="NewCenturySchlbk" w:hAnsi="NewCenturySchlbk" w:eastAsia="Times New Roman" w:cs="NewCenturySchlbk"/>
      <w:color w:val="auto"/>
      <w:sz w:val="20"/>
      <w:szCs w:val="20"/>
      <w:lang w:val="en-US" w:eastAsia="zh-CN" w:bidi="hi-IN"/>
    </w:rPr>
  </w:style>
  <w:style w:type="paragraph" w:styleId="S3">
    <w:name w:val="S3"/>
    <w:qFormat/>
    <w:pPr>
      <w:widowControl/>
      <w:bidi w:val="0"/>
      <w:spacing w:lineRule="exact" w:line="240" w:before="0" w:after="60"/>
      <w:ind w:hanging="173" w:start="173" w:end="0"/>
      <w:jc w:val="both"/>
    </w:pPr>
    <w:rPr>
      <w:rFonts w:ascii="NewCenturySchlbk" w:hAnsi="NewCenturySchlbk" w:eastAsia="Times New Roman" w:cs="NewCenturySchlbk"/>
      <w:color w:val="auto"/>
      <w:sz w:val="20"/>
      <w:szCs w:val="20"/>
      <w:lang w:val="en-US" w:eastAsia="zh-CN" w:bidi="hi-IN"/>
    </w:rPr>
  </w:style>
  <w:style w:type="paragraph" w:styleId="S4">
    <w:name w:val="S4"/>
    <w:qFormat/>
    <w:pPr>
      <w:widowControl/>
      <w:bidi w:val="0"/>
      <w:spacing w:lineRule="exact" w:line="240" w:before="0" w:after="120"/>
      <w:ind w:hanging="0" w:start="4072" w:end="3600"/>
      <w:jc w:val="center"/>
    </w:pPr>
    <w:rPr>
      <w:rFonts w:ascii="NewCenturySchlbk" w:hAnsi="NewCenturySchlbk" w:eastAsia="Times New Roman" w:cs="NewCenturySchlbk"/>
      <w:color w:val="auto"/>
      <w:sz w:val="20"/>
      <w:szCs w:val="20"/>
      <w:lang w:val="en-US" w:eastAsia="zh-CN" w:bidi="hi-IN"/>
    </w:rPr>
  </w:style>
  <w:style w:type="paragraph" w:styleId="S5">
    <w:name w:val="S5"/>
    <w:qFormat/>
    <w:pPr>
      <w:widowControl/>
      <w:bidi w:val="0"/>
      <w:spacing w:lineRule="exact" w:line="240" w:before="0" w:after="60"/>
      <w:ind w:hanging="0" w:start="6480" w:end="720"/>
      <w:jc w:val="center"/>
    </w:pPr>
    <w:rPr>
      <w:rFonts w:ascii="NewCenturySchlbk" w:hAnsi="NewCenturySchlbk" w:eastAsia="Times New Roman" w:cs="NewCenturySchlbk"/>
      <w:color w:val="auto"/>
      <w:sz w:val="20"/>
      <w:szCs w:val="20"/>
      <w:lang w:val="en-US" w:eastAsia="zh-CN" w:bidi="hi-IN"/>
    </w:rPr>
  </w:style>
  <w:style w:type="paragraph" w:styleId="S6">
    <w:name w:val="S6"/>
    <w:qFormat/>
    <w:pPr>
      <w:widowControl/>
      <w:bidi w:val="0"/>
      <w:ind w:hanging="173" w:start="173" w:end="0"/>
      <w:jc w:val="both"/>
    </w:pPr>
    <w:rPr>
      <w:rFonts w:ascii="NewCenturySchlbk" w:hAnsi="NewCenturySchlbk" w:eastAsia="Times New Roman" w:cs="NewCenturySchlbk"/>
      <w:color w:val="auto"/>
      <w:sz w:val="20"/>
      <w:szCs w:val="20"/>
      <w:lang w:val="en-US" w:eastAsia="zh-CN" w:bidi="hi-IN"/>
    </w:rPr>
  </w:style>
  <w:style w:type="paragraph" w:styleId="S7">
    <w:name w:val="S7"/>
    <w:qFormat/>
    <w:pPr>
      <w:widowControl/>
      <w:bidi w:val="0"/>
      <w:ind w:hanging="0" w:start="6653" w:end="720"/>
    </w:pPr>
    <w:rPr>
      <w:rFonts w:ascii="NewCenturySchlbk" w:hAnsi="NewCenturySchlbk" w:eastAsia="Times New Roman" w:cs="NewCenturySchlbk"/>
      <w:color w:val="auto"/>
      <w:sz w:val="20"/>
      <w:szCs w:val="20"/>
      <w:lang w:val="en-US" w:eastAsia="zh-CN" w:bidi="hi-IN"/>
    </w:rPr>
  </w:style>
  <w:style w:type="paragraph" w:styleId="S8">
    <w:name w:val="S8"/>
    <w:qFormat/>
    <w:pPr>
      <w:widowControl/>
      <w:bidi w:val="0"/>
      <w:ind w:hanging="0" w:start="4075" w:end="720"/>
    </w:pPr>
    <w:rPr>
      <w:rFonts w:ascii="NewCenturySchlbk" w:hAnsi="NewCenturySchlbk" w:eastAsia="Times New Roman" w:cs="NewCenturySchlbk"/>
      <w:color w:val="auto"/>
      <w:sz w:val="20"/>
      <w:szCs w:val="20"/>
      <w:lang w:val="en-US" w:eastAsia="zh-CN" w:bidi="hi-IN"/>
    </w:rPr>
  </w:style>
  <w:style w:type="paragraph" w:styleId="S9">
    <w:name w:val="S9"/>
    <w:qFormat/>
    <w:pPr>
      <w:widowControl/>
      <w:bidi w:val="0"/>
      <w:spacing w:lineRule="exact" w:line="240" w:before="0" w:after="100"/>
      <w:ind w:hanging="0" w:start="6653" w:end="720"/>
    </w:pPr>
    <w:rPr>
      <w:rFonts w:ascii="NewCenturySchlbk" w:hAnsi="NewCenturySchlbk" w:eastAsia="Times New Roman" w:cs="NewCenturySchlbk"/>
      <w:color w:val="auto"/>
      <w:sz w:val="20"/>
      <w:szCs w:val="20"/>
      <w:lang w:val="en-US" w:eastAsia="zh-CN" w:bidi="hi-IN"/>
    </w:rPr>
  </w:style>
  <w:style w:type="paragraph" w:styleId="HeaderandFooter">
    <w:name w:val="Header and Footer"/>
    <w:basedOn w:val="Normal"/>
    <w:qFormat/>
    <w:pPr>
      <w:suppressLineNumbers/>
      <w:tabs>
        <w:tab w:val="clear" w:pos="173"/>
        <w:tab w:val="center" w:pos="4986" w:leader="none"/>
        <w:tab w:val="right" w:pos="9972" w:leader="none"/>
      </w:tabs>
    </w:pPr>
    <w:rPr/>
  </w:style>
  <w:style w:type="paragraph" w:styleId="Header">
    <w:name w:val="header"/>
    <w:basedOn w:val="Normal"/>
    <w:pPr>
      <w:tabs>
        <w:tab w:val="clear" w:pos="173"/>
        <w:tab w:val="center" w:pos="4320" w:leader="none"/>
        <w:tab w:val="right" w:pos="8640" w:leader="none"/>
      </w:tabs>
    </w:pPr>
    <w:rPr/>
  </w:style>
  <w:style w:type="paragraph" w:styleId="Footer">
    <w:name w:val="footer"/>
    <w:basedOn w:val="Normal"/>
    <w:pPr>
      <w:tabs>
        <w:tab w:val="clear" w:pos="173"/>
        <w:tab w:val="center" w:pos="4320" w:leader="none"/>
        <w:tab w:val="right" w:pos="8640" w:leader="none"/>
      </w:tabs>
    </w:pPr>
    <w:rPr/>
  </w:style>
  <w:style w:type="paragraph" w:styleId="BodyText2">
    <w:name w:val="Body Text 2"/>
    <w:basedOn w:val="Normal"/>
    <w:qFormat/>
    <w:pPr>
      <w:ind w:hanging="0" w:start="720" w:end="0"/>
    </w:pPr>
    <w:rPr>
      <w:sz w:val="22"/>
    </w:rPr>
  </w:style>
  <w:style w:type="paragraph" w:styleId="BodyTextIndent2">
    <w:name w:val="Body Text Indent 2"/>
    <w:basedOn w:val="Normal"/>
    <w:qFormat/>
    <w:pPr>
      <w:ind w:hanging="0" w:start="720" w:end="0"/>
      <w:jc w:val="both"/>
    </w:pPr>
    <w:rPr>
      <w:sz w:val="22"/>
    </w:rPr>
  </w:style>
  <w:style w:type="paragraph" w:styleId="BodyTextIndent3">
    <w:name w:val="Body Text Indent 3"/>
    <w:basedOn w:val="Normal"/>
    <w:qFormat/>
    <w:pPr>
      <w:ind w:hanging="173" w:start="1210" w:end="0"/>
    </w:pPr>
    <w:rPr>
      <w:sz w:val="22"/>
    </w:rPr>
  </w:style>
  <w:style w:type="paragraph" w:styleId="BodyTextIndent">
    <w:name w:val="Body Text Indent"/>
    <w:basedOn w:val="Normal"/>
    <w:pPr>
      <w:ind w:hanging="0" w:start="990" w:end="0"/>
    </w:pPr>
    <w:rPr>
      <w:sz w:val="22"/>
    </w:rPr>
  </w:style>
  <w:style w:type="paragraph" w:styleId="sect7items21">
    <w:name w:val="sect7 items 21"/>
    <w:qFormat/>
    <w:pPr>
      <w:widowControl/>
      <w:bidi w:val="0"/>
      <w:spacing w:lineRule="exact" w:line="240" w:before="120" w:after="0"/>
      <w:ind w:hanging="0" w:start="5400" w:end="1728"/>
      <w:jc w:val="end"/>
    </w:pPr>
    <w:rPr>
      <w:rFonts w:ascii="NewCenturySchlbk" w:hAnsi="NewCenturySchlbk" w:eastAsia="Times New Roman" w:cs="NewCenturySchlbk"/>
      <w:color w:val="auto"/>
      <w:sz w:val="20"/>
      <w:szCs w:val="20"/>
      <w:lang w:val="en-US" w:eastAsia="zh-CN" w:bidi="hi-IN"/>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2001-10-04T13:38:00Z</dcterms:created>
  <dc:creator>bryan k auld</dc:creator>
  <dc:description/>
  <dc:language>en-CA</dc:language>
  <cp:lastModifiedBy>bhansen</cp:lastModifiedBy>
  <cp:lastPrinted>2001-09-21T09:58:00Z</cp:lastPrinted>
  <dcterms:modified xsi:type="dcterms:W3CDTF">2001-10-04T13:38:00Z</dcterms:modified>
  <cp:revision>2</cp:revision>
  <dc:subject/>
  <dc:title>S T A N D B Y    S E R V I C E S</dc:title>
</cp:coreProperties>
</file>