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jc w:val="center"/>
        <w:rPr/>
      </w:pPr>
      <w:r>
        <w:rPr>
          <w:b/>
          <w:bCs/>
        </w:rPr>
        <w:t>DRAFT</w:t>
      </w:r>
      <w:r>
        <w:rPr/>
        <w:t xml:space="preserve">  </w:t>
      </w:r>
      <w:r>
        <w:rPr>
          <w:b/>
          <w:bCs/>
        </w:rPr>
        <w:t>FOR DISCUSSION PURPOSES  ONLY</w:t>
      </w:r>
    </w:p>
    <w:p>
      <w:pPr>
        <w:pStyle w:val="Normal"/>
        <w:widowControl w:val="false"/>
        <w:tabs>
          <w:tab w:val="clear" w:pos="720"/>
          <w:tab w:val="right" w:pos="10800" w:leader="none"/>
        </w:tabs>
        <w:rPr/>
      </w:pPr>
      <w:r>
        <w:rPr/>
        <w:t xml:space="preserve">This Base Contract is entered into as of the following date: </w:t>
      </w:r>
      <w:r>
        <w:rPr>
          <w:u w:val="single"/>
        </w:rPr>
        <w:t>April 11, 2001</w:t>
        <w:tab/>
      </w:r>
      <w:r>
        <w:rPr/>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u w:val="single"/>
        </w:rPr>
        <w:t>ENRON NORTH AMERICA CORP.</w:t>
      </w:r>
      <w:r>
        <w:rPr>
          <w:u w:val="single"/>
        </w:rPr>
        <w:tab/>
      </w:r>
      <w:r>
        <w:rPr/>
        <w:tab/>
        <w:t>and</w:t>
        <w:tab/>
      </w:r>
      <w:r>
        <w:rPr>
          <w:b/>
          <w:bCs/>
          <w:u w:val="single"/>
        </w:rPr>
        <w:t>BGE Home Products Services, Inc.</w:t>
      </w:r>
      <w:r>
        <w:rPr>
          <w:b/>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791182710</w:t>
        <w:tab/>
        <w:tab/>
      </w:r>
      <w:r>
        <w:rPr/>
        <w:tab/>
        <w:t xml:space="preserve">Duns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646-4816</w:t>
        <w:tab/>
      </w:r>
      <w:r>
        <w:rPr/>
        <w:tab/>
        <w:t xml:space="preserve">  </w:t>
        <w:tab/>
        <w:t xml:space="preserve">Phone: </w:t>
      </w:r>
      <w:r>
        <w:rPr>
          <w:u w:val="single"/>
        </w:rPr>
        <w:tab/>
      </w:r>
      <w:r>
        <w:rPr/>
        <w:t xml:space="preserve"> Fax:</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646-8420</w:t>
        <w:tab/>
      </w:r>
      <w:r>
        <w:rPr/>
        <w:tab/>
        <w:tab/>
        <w:t xml:space="preserve">Phone: </w:t>
      </w:r>
      <w:r>
        <w:rPr>
          <w:u w:val="single"/>
        </w:rPr>
        <w:tab/>
        <w:t xml:space="preserve"> </w:t>
      </w:r>
      <w:r>
        <w:rPr/>
        <w:t xml:space="preserve">Fax: </w:t>
      </w:r>
      <w:r>
        <w:rPr>
          <w:u w:val="single"/>
        </w:rPr>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Wire Transfer or ACH Nos.</w:t>
      </w:r>
    </w:p>
    <w:p>
      <w:pPr>
        <w:pStyle w:val="Heading2"/>
        <w:ind w:hanging="0" w:start="0"/>
        <w:rPr/>
      </w:pPr>
      <w:r>
        <w:rPr/>
        <w:t xml:space="preserve">Account #3750494099 ABA #111000012  Bank of America Dallas TX </w:t>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 xml:space="preserve"> </w:t>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b/>
                <w:sz w:val="18"/>
              </w:rPr>
              <w:t>_</w:t>
            </w:r>
            <w:r>
              <w:rPr>
                <w:b/>
                <w:sz w:val="18"/>
                <w:u w:val="single"/>
              </w:rPr>
              <w:t xml:space="preserve">Enron North America Corp. </w:t>
            </w:r>
            <w:r>
              <w:rPr>
                <w:b/>
                <w:sz w:val="18"/>
              </w:rPr>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Texas</w:t>
            </w:r>
            <w:r>
              <w:rPr>
                <w:b/>
                <w:sz w:val="18"/>
              </w:rPr>
              <w:t xml:space="preserve">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ENRON NORTH AMERICA CORP.</w:t>
      </w:r>
      <w:r>
        <w:rPr>
          <w:u w:val="single"/>
        </w:rPr>
        <w:tab/>
      </w:r>
      <w:r>
        <w:rPr/>
        <w:tab/>
        <w:tab/>
      </w:r>
      <w:r>
        <w:rPr>
          <w:b/>
          <w:bCs/>
          <w:u w:val="single"/>
        </w:rPr>
        <w:t>BGE HOME PRODUCTS &amp; SERVICES,  INC.</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(Party Name)</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b/>
          <w:spacing w:val="-6"/>
          <w:sz w:val="18"/>
          <w:u w:val="single"/>
        </w:rPr>
      </w:pPr>
      <w:r>
        <w:rPr>
          <w:b/>
          <w:spacing w:val="-6"/>
          <w:sz w:val="18"/>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spacing w:val="-6"/>
          <w:sz w:val="18"/>
        </w:rPr>
      </w:pPr>
      <w:r>
        <w:rPr>
          <w:spacing w:val="-6"/>
          <w:sz w:val="18"/>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0">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BodyText"/>
        <w:rPr/>
      </w:pPr>
      <w:r>
        <w:rPr/>
        <w:t>Section 11.1 is deleted in its entirety and the following new Section 11.1 is inserted in its place:</w:t>
      </w:r>
    </w:p>
    <w:p>
      <w:pPr>
        <w:pStyle w:val="Normal"/>
        <w:ind w:start="360" w:end="0"/>
        <w:jc w:val="both"/>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11.1.</w:t>
        <w:tab/>
        <w:t xml:space="preserve">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w:t>
      </w:r>
      <w:r>
        <w:rPr>
          <w:rFonts w:cs="Times New Roman" w:ascii="Times New Roman" w:hAnsi="Times New Roman"/>
          <w:sz w:val="20"/>
        </w:rPr>
        <w:t>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therefore.  Subject to the foregoing sentence, events of Force Majeure shall include the events as further defined in Section 11.2 and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0"/>
        </w:rPr>
      </w:pPr>
      <w:r>
        <w:rPr>
          <w:rFonts w:cs="Times New Roman"/>
          <w:sz w:val="20"/>
        </w:rPr>
      </w:r>
    </w:p>
    <w:p>
      <w:pPr>
        <w:pStyle w:val="BodyText"/>
        <w:rPr/>
      </w:pPr>
      <w:r>
        <w:rPr/>
        <w:t>Section 11.3 is deleted in its entirety and the following new Section 11.3 is inserted in its place:</w:t>
      </w:r>
    </w:p>
    <w:p>
      <w:pPr>
        <w:pStyle w:val="BodyText"/>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11.3.</w:t>
        <w:tab/>
        <w:t xml:space="preserve">Neither party shall be entitled to the benefit of the provisions of Force Majeure to the extent performance is affected by any or all of the following circumstances:  </w:t>
      </w:r>
      <w:r>
        <w:rPr>
          <w:rFonts w:cs="Times New Roman" w:ascii="Times New Roman" w:hAnsi="Times New Roman"/>
          <w:sz w:val="20"/>
        </w:rPr>
        <w:t>(i) the loss of Buyer's markets or Buyer's inability economically to use or resell Gas purchased hereunder, (ii) the loss or failure of Seller's Gas supply, including, without limitation, depletion of reserves or other failure of production, (iii) Seller's ability to sell Gas to a market at a more advantageous price,</w:t>
      </w:r>
      <w:r>
        <w:rPr>
          <w:rFonts w:cs="Times New Roman" w:ascii="Times New Roman" w:hAnsi="Times New Roman"/>
          <w:spacing w:val="-3"/>
          <w:sz w:val="20"/>
        </w:rPr>
        <w:t xml:space="preserve"> (</w:t>
      </w:r>
      <w:r>
        <w:rPr>
          <w:rFonts w:cs="Times New Roman" w:ascii="Times New Roman" w:hAnsi="Times New Roman"/>
          <w:spacing w:val="-3"/>
          <w:sz w:val="20"/>
          <w:lang w:val="en-CA" w:eastAsia="en-CA"/>
        </w:rPr>
        <w:t>iv</w:t>
      </w:r>
      <w:r>
        <w:rPr>
          <w:rFonts w:cs="Times New Roman" w:ascii="Times New Roman" w:hAnsi="Times New Roman"/>
          <w:spacing w:val="-3"/>
          <w:sz w:val="20"/>
        </w:rPr>
        <w:t>) the curtailment of interruptible or secondary firm transportation unless primary, in-path, firm transportation is also curtailed; (</w:t>
      </w:r>
      <w:r>
        <w:rPr>
          <w:rFonts w:cs="Times New Roman" w:ascii="Times New Roman" w:hAnsi="Times New Roman"/>
          <w:spacing w:val="-3"/>
          <w:sz w:val="20"/>
          <w:lang w:val="en-CA" w:eastAsia="en-CA"/>
        </w:rPr>
        <w:t>v</w:t>
      </w:r>
      <w:r>
        <w:rPr>
          <w:rFonts w:cs="Times New Roman" w:ascii="Times New Roman" w:hAnsi="Times New Roman"/>
          <w:spacing w:val="-3"/>
          <w:sz w:val="20"/>
        </w:rPr>
        <w:t>) the party claiming excuse failed to remedy the condition and to resume the performance of such covenants or obligations with reasonable dispatch; or (</w:t>
      </w:r>
      <w:r>
        <w:rPr>
          <w:rFonts w:cs="Times New Roman" w:ascii="Times New Roman" w:hAnsi="Times New Roman"/>
          <w:spacing w:val="-3"/>
          <w:sz w:val="20"/>
          <w:lang w:val="en-CA" w:eastAsia="en-CA"/>
        </w:rPr>
        <w:t>vi</w:t>
      </w:r>
      <w:r>
        <w:rPr>
          <w:rFonts w:cs="Times New Roman" w:ascii="Times New Roman" w:hAnsi="Times New Roman"/>
          <w:spacing w:val="-3"/>
          <w:sz w:val="20"/>
        </w:rPr>
        <w:t>) economic hardship.  The party claiming Force Majeure shall not be excused from its responsibility for Imbalance Charges</w:t>
      </w:r>
      <w:r>
        <w:rPr>
          <w:rFonts w:cs="Times New Roman" w:ascii="Times New Roman" w:hAnsi="Times New Roman"/>
          <w:sz w:val="20"/>
        </w:rPr>
        <w:t>.”</w:t>
      </w:r>
    </w:p>
    <w:p>
      <w:pPr>
        <w:pStyle w:val="BodyTextIndent"/>
        <w:rPr>
          <w:rFonts w:ascii="Times New Roman" w:hAnsi="Times New Roman" w:cs="Times New Roman"/>
          <w:sz w:val="20"/>
        </w:rPr>
      </w:pPr>
      <w:r>
        <w:rPr>
          <w:rFonts w:cs="Times New Roman" w:ascii="Times New Roman" w:hAnsi="Times New Roman"/>
          <w:sz w:val="20"/>
        </w:rPr>
      </w:r>
    </w:p>
    <w:p>
      <w:pPr>
        <w:pStyle w:val="BodyText"/>
        <w:rPr/>
      </w:pPr>
      <w:r>
        <w:rPr/>
        <w:t>Section 13 is modified by inserting the following new Section 13.9:</w:t>
      </w:r>
    </w:p>
    <w:p>
      <w:pPr>
        <w:pStyle w:val="Normal"/>
        <w:ind w:start="360" w:end="0"/>
        <w:jc w:val="both"/>
        <w:rPr/>
      </w:pPr>
      <w:r>
        <w:rPr/>
      </w:r>
    </w:p>
    <w:p>
      <w:pPr>
        <w:pStyle w:val="BodyTextIndent"/>
        <w:rPr/>
      </w:pPr>
      <w:r>
        <w:rPr>
          <w:rFonts w:cs="Times New Roman" w:ascii="Times New Roman" w:hAnsi="Times New Roman"/>
          <w:sz w:val="20"/>
        </w:rPr>
        <w:t>“</w:t>
      </w:r>
      <w:r>
        <w:rPr>
          <w:rFonts w:cs="Times New Roman" w:ascii="Times New Roman" w:hAnsi="Times New Roman"/>
          <w:sz w:val="20"/>
        </w:rPr>
        <w:t>Section 13.9 Any dispute relating to this Agreement shall be resolved by binding, self-administered arbitration pursuant to the Commercial Arbitration Rules of the American Arbitration Association ("</w:t>
      </w:r>
      <w:r>
        <w:rPr>
          <w:rFonts w:cs="Times New Roman" w:ascii="Times New Roman" w:hAnsi="Times New Roman"/>
          <w:sz w:val="20"/>
          <w:u w:val="single"/>
        </w:rPr>
        <w:t>AAA</w:t>
      </w:r>
      <w:r>
        <w:rPr>
          <w:rFonts w:cs="Times New Roman" w:ascii="Times New Roman" w:hAnsi="Times New Roman"/>
          <w:sz w:val="20"/>
        </w:rPr>
        <w:t>") and all such proceedings shall be subject to the Federal Arbitration Act.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the AAA.  Only damages allowed pursuant to this Agreement may be awarded and the arbitrators shall have no authority to award treble, exemplary or punitive damages of any type under any circumstances regardless of whether such damages may be available under Texas law.”</w:t>
      </w:r>
    </w:p>
    <w:p>
      <w:pPr>
        <w:pStyle w:val="Normal"/>
        <w:rPr>
          <w:rFonts w:ascii="Times New Roman" w:hAnsi="Times New Roman" w:cs="Times New Roman"/>
          <w:sz w:val="20"/>
        </w:rPr>
      </w:pPr>
      <w:r>
        <w:rPr>
          <w:rFonts w:cs="Times New Roman"/>
          <w:sz w:val="20"/>
        </w:rPr>
      </w:r>
    </w:p>
    <w:p>
      <w:pPr>
        <w:pStyle w:val="Normal"/>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Wingding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eastAsia="en-CA"/>
      </w:rPr>
    </w:pPr>
    <w:r>
      <w:rPr>
        <w:rFonts w:cs="CG Times" w:ascii="CG Times" w:hAnsi="CG Times"/>
        <w:sz w:val="24"/>
        <w:lang w:val="en-CA" w:eastAsia="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1996–2000 Gas Industry Standards Board, Inc.</w:t>
    </w:r>
    <w:r>
      <w:rPr>
        <w:rFonts w:cs="CG Times" w:ascii="CG Times" w:hAnsi="CG Times"/>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133655292"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1432855116"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paragraph" w:styleId="Heading2">
    <w:name w:val="heading 2"/>
    <w:basedOn w:val="Normal"/>
    <w:next w:val="Normal"/>
    <w:qFormat/>
    <w:pPr>
      <w:keepNext w:val="true"/>
      <w:widowControl w:val="false"/>
      <w:numPr>
        <w:ilvl w:val="1"/>
        <w:numId w:val="1"/>
      </w:numPr>
      <w:tabs>
        <w:tab w:val="clear" w:pos="720"/>
        <w:tab w:val="left" w:pos="0" w:leader="none"/>
        <w:tab w:val="center" w:pos="2520" w:leader="none"/>
        <w:tab w:val="right" w:pos="5040" w:leader="none"/>
        <w:tab w:val="left" w:pos="5760" w:leader="none"/>
        <w:tab w:val="center" w:pos="8280" w:leader="none"/>
        <w:tab w:val="right" w:pos="10800" w:leader="none"/>
      </w:tabs>
      <w:spacing w:before="0" w:after="120"/>
      <w:outlineLvl w:val="1"/>
    </w:pPr>
    <w:rPr>
      <w:u w:val="single"/>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pPr>
    <w:rPr>
      <w:b/>
      <w:sz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2001-04-11T16:35:00Z</dcterms:created>
  <dc:creator>EPNG</dc:creator>
  <dc:description/>
  <dc:language>en-CA</dc:language>
  <cp:lastModifiedBy>dperlin</cp:lastModifiedBy>
  <cp:lastPrinted>2001-01-10T15:01:00Z</cp:lastPrinted>
  <dcterms:modified xsi:type="dcterms:W3CDTF">2001-04-11T16:35:00Z</dcterms:modified>
  <cp:revision>2</cp:revision>
  <dc:subject/>
  <dc:title>BASE CONTRACT FOR SHORT-TERM</dc:title>
</cp:coreProperties>
</file>