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UNITED STATES DISTRICT COURT</w:t>
      </w:r>
    </w:p>
    <w:p>
      <w:pPr>
        <w:pStyle w:val="Normal"/>
        <w:jc w:val="center"/>
        <w:rPr>
          <w:rFonts w:ascii="Arial" w:hAnsi="Arial" w:cs="Arial"/>
          <w:b/>
        </w:rPr>
      </w:pPr>
      <w:r>
        <w:rPr>
          <w:rFonts w:cs="Arial" w:ascii="Arial" w:hAnsi="Arial"/>
          <w:b/>
        </w:rPr>
        <w:t>DISTRICT OF MARYLAND</w:t>
      </w:r>
    </w:p>
    <w:p>
      <w:pPr>
        <w:pStyle w:val="Normal"/>
        <w:rPr>
          <w:rFonts w:ascii="Arial" w:hAnsi="Arial" w:cs="Arial"/>
          <w:b/>
        </w:rPr>
      </w:pPr>
      <w:r>
        <w:rPr>
          <w:rFonts w:cs="Arial" w:ascii="Arial" w:hAnsi="Arial"/>
          <w:b/>
        </w:rPr>
      </w:r>
    </w:p>
    <w:p>
      <w:pPr>
        <w:pStyle w:val="Normal"/>
        <w:rPr>
          <w:b/>
          <w:u w:val="single"/>
        </w:rPr>
      </w:pPr>
      <w:r>
        <w:rPr>
          <w:b/>
          <w:u w:val="single"/>
        </w:rPr>
        <w:tab/>
        <w:tab/>
        <w:tab/>
        <w:tab/>
        <w:tab/>
        <w:tab/>
        <w:tab/>
        <w:tab/>
      </w:r>
    </w:p>
    <w:p>
      <w:pPr>
        <w:pStyle w:val="Normal"/>
        <w:rPr>
          <w:b/>
        </w:rPr>
      </w:pPr>
      <w:r>
        <w:rPr>
          <w:b/>
        </w:rPr>
        <w:tab/>
        <w:tab/>
        <w:tab/>
        <w:tab/>
        <w:tab/>
        <w:tab/>
        <w:tab/>
        <w:tab/>
        <w:t>)</w:t>
      </w:r>
    </w:p>
    <w:p>
      <w:pPr>
        <w:pStyle w:val="Normal"/>
        <w:rPr>
          <w:b/>
        </w:rPr>
      </w:pPr>
      <w:r>
        <w:rPr>
          <w:b/>
        </w:rPr>
        <w:t>BALTIMORE GAS AND ELECTRIC COMPANY,</w:t>
        <w:tab/>
        <w:t>)</w:t>
      </w:r>
    </w:p>
    <w:p>
      <w:pPr>
        <w:pStyle w:val="Normal"/>
        <w:rPr>
          <w:b/>
        </w:rPr>
      </w:pPr>
      <w:r>
        <w:rPr>
          <w:b/>
        </w:rPr>
        <w:tab/>
        <w:tab/>
        <w:tab/>
        <w:tab/>
        <w:tab/>
        <w:tab/>
        <w:tab/>
        <w:tab/>
        <w:t>)</w:t>
      </w:r>
    </w:p>
    <w:p>
      <w:pPr>
        <w:pStyle w:val="Normal"/>
        <w:rPr>
          <w:b/>
        </w:rPr>
      </w:pPr>
      <w:r>
        <w:rPr>
          <w:b/>
        </w:rPr>
        <w:tab/>
        <w:tab/>
        <w:tab/>
        <w:tab/>
        <w:tab/>
        <w:t>Plaintiff,</w:t>
        <w:tab/>
        <w:tab/>
        <w:t>)</w:t>
      </w:r>
    </w:p>
    <w:p>
      <w:pPr>
        <w:pStyle w:val="Normal"/>
        <w:rPr>
          <w:b/>
        </w:rPr>
      </w:pPr>
      <w:r>
        <w:rPr>
          <w:b/>
        </w:rPr>
        <w:tab/>
        <w:tab/>
        <w:tab/>
        <w:tab/>
        <w:tab/>
        <w:tab/>
        <w:tab/>
        <w:tab/>
        <w:t>)</w:t>
      </w:r>
    </w:p>
    <w:p>
      <w:pPr>
        <w:pStyle w:val="Normal"/>
        <w:rPr>
          <w:b/>
        </w:rPr>
      </w:pPr>
      <w:r>
        <w:rPr>
          <w:b/>
        </w:rPr>
        <w:tab/>
        <w:tab/>
        <w:t>v.</w:t>
        <w:tab/>
        <w:tab/>
        <w:tab/>
        <w:tab/>
        <w:tab/>
        <w:tab/>
        <w:t>)</w:t>
        <w:tab/>
        <w:t xml:space="preserve">Civil Action No. </w:t>
      </w:r>
      <w:r>
        <w:rPr>
          <w:b/>
          <w:u w:val="single"/>
        </w:rPr>
        <w:tab/>
        <w:tab/>
      </w:r>
    </w:p>
    <w:p>
      <w:pPr>
        <w:pStyle w:val="Normal"/>
        <w:rPr>
          <w:b/>
        </w:rPr>
      </w:pPr>
      <w:r>
        <w:rPr>
          <w:b/>
        </w:rPr>
        <w:tab/>
        <w:tab/>
        <w:tab/>
        <w:tab/>
        <w:tab/>
        <w:tab/>
        <w:tab/>
        <w:tab/>
        <w:t>)</w:t>
      </w:r>
    </w:p>
    <w:p>
      <w:pPr>
        <w:pStyle w:val="Normal"/>
        <w:rPr>
          <w:b/>
        </w:rPr>
      </w:pPr>
      <w:r>
        <w:rPr>
          <w:b/>
        </w:rPr>
        <w:t>THE UNITED STATES</w:t>
        <w:tab/>
        <w:tab/>
        <w:tab/>
        <w:tab/>
        <w:tab/>
        <w:t>)</w:t>
      </w:r>
    </w:p>
    <w:p>
      <w:pPr>
        <w:pStyle w:val="Normal"/>
        <w:rPr>
          <w:b/>
        </w:rPr>
      </w:pPr>
      <w:r>
        <w:rPr>
          <w:b/>
        </w:rPr>
        <w:tab/>
        <w:tab/>
        <w:tab/>
        <w:tab/>
        <w:tab/>
        <w:tab/>
        <w:tab/>
        <w:tab/>
        <w:t>)</w:t>
      </w:r>
    </w:p>
    <w:p>
      <w:pPr>
        <w:pStyle w:val="Normal"/>
        <w:rPr>
          <w:b/>
        </w:rPr>
      </w:pPr>
      <w:r>
        <w:rPr>
          <w:b/>
        </w:rPr>
        <w:tab/>
        <w:tab/>
        <w:t>and</w:t>
        <w:tab/>
        <w:tab/>
        <w:tab/>
        <w:tab/>
        <w:tab/>
        <w:tab/>
        <w:t>)</w:t>
      </w:r>
    </w:p>
    <w:p>
      <w:pPr>
        <w:pStyle w:val="Normal"/>
        <w:rPr>
          <w:b/>
        </w:rPr>
      </w:pPr>
      <w:r>
        <w:rPr>
          <w:b/>
        </w:rPr>
        <w:tab/>
        <w:tab/>
        <w:tab/>
        <w:tab/>
        <w:tab/>
        <w:tab/>
        <w:tab/>
        <w:tab/>
        <w:t>)</w:t>
      </w:r>
    </w:p>
    <w:p>
      <w:pPr>
        <w:pStyle w:val="Normal"/>
        <w:rPr>
          <w:b/>
        </w:rPr>
      </w:pPr>
      <w:r>
        <w:rPr>
          <w:b/>
        </w:rPr>
        <w:t>LOUIS CALDERA,</w:t>
        <w:tab/>
        <w:tab/>
        <w:tab/>
        <w:tab/>
        <w:tab/>
        <w:tab/>
        <w:t>)</w:t>
      </w:r>
    </w:p>
    <w:p>
      <w:pPr>
        <w:pStyle w:val="Normal"/>
        <w:rPr>
          <w:b/>
        </w:rPr>
      </w:pPr>
      <w:r>
        <w:rPr>
          <w:b/>
        </w:rPr>
        <w:t>Secretary of the Army,</w:t>
        <w:tab/>
        <w:tab/>
        <w:tab/>
        <w:tab/>
        <w:tab/>
        <w:t>)</w:t>
      </w:r>
    </w:p>
    <w:p>
      <w:pPr>
        <w:pStyle w:val="Normal"/>
        <w:rPr>
          <w:b/>
        </w:rPr>
      </w:pPr>
      <w:r>
        <w:rPr>
          <w:b/>
        </w:rPr>
        <w:tab/>
        <w:tab/>
        <w:tab/>
        <w:tab/>
        <w:tab/>
        <w:tab/>
        <w:tab/>
        <w:tab/>
        <w:t>)</w:t>
      </w:r>
    </w:p>
    <w:p>
      <w:pPr>
        <w:pStyle w:val="Normal"/>
        <w:rPr>
          <w:b/>
        </w:rPr>
      </w:pPr>
      <w:r>
        <w:rPr>
          <w:b/>
        </w:rPr>
        <w:tab/>
        <w:tab/>
        <w:tab/>
        <w:tab/>
        <w:tab/>
        <w:t>Defendants.</w:t>
        <w:tab/>
        <w:tab/>
        <w:t>)</w:t>
      </w:r>
    </w:p>
    <w:p>
      <w:pPr>
        <w:pStyle w:val="Normal"/>
        <w:rPr>
          <w:b/>
          <w:u w:val="single"/>
        </w:rPr>
      </w:pPr>
      <w:r>
        <w:rPr>
          <w:b/>
          <w:u w:val="single"/>
        </w:rPr>
        <w:tab/>
        <w:tab/>
        <w:tab/>
        <w:tab/>
        <w:tab/>
        <w:tab/>
        <w:tab/>
        <w:tab/>
        <w:t>)</w:t>
      </w:r>
    </w:p>
    <w:p>
      <w:pPr>
        <w:pStyle w:val="Normal"/>
        <w:rPr>
          <w:b/>
          <w:u w:val="single"/>
        </w:rPr>
      </w:pPr>
      <w:r>
        <w:rPr>
          <w:b/>
          <w:u w:val="single"/>
        </w:rPr>
      </w:r>
    </w:p>
    <w:p>
      <w:pPr>
        <w:pStyle w:val="Normal"/>
        <w:rPr/>
      </w:pPr>
      <w:r>
        <w:rPr/>
      </w:r>
    </w:p>
    <w:p>
      <w:pPr>
        <w:pStyle w:val="Normal"/>
        <w:jc w:val="center"/>
        <w:rPr>
          <w:rFonts w:ascii="Arial" w:hAnsi="Arial" w:cs="Arial"/>
          <w:b/>
          <w:u w:val="single"/>
        </w:rPr>
      </w:pPr>
      <w:r>
        <w:rPr>
          <w:rFonts w:cs="Arial" w:ascii="Arial" w:hAnsi="Arial"/>
          <w:b/>
          <w:u w:val="single"/>
        </w:rPr>
        <w:t>PLAINTIFF’S MOTION FOR PRELIMINARY INJUNCTION</w:t>
      </w:r>
    </w:p>
    <w:p>
      <w:pPr>
        <w:pStyle w:val="Normal"/>
        <w:rPr>
          <w:rFonts w:ascii="Arial" w:hAnsi="Arial" w:cs="Arial"/>
          <w:b/>
          <w:u w:val="single"/>
        </w:rPr>
      </w:pPr>
      <w:r>
        <w:rPr>
          <w:rFonts w:cs="Arial" w:ascii="Arial" w:hAnsi="Arial"/>
          <w:b/>
          <w:u w:val="single"/>
        </w:rPr>
      </w:r>
    </w:p>
    <w:p>
      <w:pPr>
        <w:pStyle w:val="Normal"/>
        <w:spacing w:lineRule="auto" w:line="480" w:before="240" w:after="0"/>
        <w:jc w:val="both"/>
        <w:rPr/>
      </w:pPr>
      <w:r>
        <w:rPr/>
        <w:tab/>
        <w:t>Pursuant to Rule 65(a) of the Federal Rules of Civil Procedure, plaintiff Baltimore Gas and Electric Company (“BGE”) respectfully moves this Court to issue a Preliminary Injunction enjoining Defendants, their agencies, instrumentalities, officers, agents and employees, as well as all other persons in active concert or participation with them, from (i) proceeding with the Consolidated Utility Privatization Solicitation (the “Privatization Solicitation”), RFP No. DACA31-00-R-0026, (ii) awarding a contract for the Fort Meade utility distribution systems under the Privatization Solicitation, and (iii) otherwise expending additional public funds in furtherance of the Privatization Solicitation.</w:t>
      </w:r>
    </w:p>
    <w:p>
      <w:pPr>
        <w:pStyle w:val="Normal"/>
        <w:spacing w:lineRule="auto" w:line="480" w:before="240" w:after="0"/>
        <w:jc w:val="both"/>
        <w:rPr/>
      </w:pPr>
      <w:r>
        <w:rPr/>
        <w:tab/>
        <w:t>As detailed in the accompanying Memorandum In Support of Plaintiff’s Motion For Preliminary Injunction, BGE has a substantial likelihood of prevailing on the merits of this action.  Unless this Motion is granted, BGE and the public will suffer immediate and irreparable harm from the award of a contract under the Privatization Solicitation, which violates Maryland law, federal statutory and regulatory law, the United States Constitution, and applicable precedent.  Furthermore, neither the Defendant nor the public will suffer any harm from the requested equitable relief.  Finally, the public interest demands adherence to the Constitution, as well as applicable statutes and regulations, and thus fully supports issuance of the requested relief.</w:t>
      </w:r>
    </w:p>
    <w:p>
      <w:pPr>
        <w:pStyle w:val="Normal"/>
        <w:spacing w:lineRule="auto" w:line="480" w:before="240" w:after="0"/>
        <w:jc w:val="both"/>
        <w:rPr/>
      </w:pPr>
      <w:r>
        <w:rPr/>
        <w:tab/>
        <w:t>WHEREFOR, plaintiff BGE respectfully requests that this Court issue a Preliminary Injunction as described above pending a final decision on the merits of this action.  A proposed Order is attached.  As this matter involves only questions of law, Plaintiff believes this matter can be resolved without a hearing.</w:t>
      </w:r>
    </w:p>
    <w:p>
      <w:pPr>
        <w:pStyle w:val="Normal"/>
        <w:rPr/>
      </w:pPr>
      <w:r>
        <w:rPr/>
      </w:r>
    </w:p>
    <w:p>
      <w:pPr>
        <w:pStyle w:val="Normal"/>
        <w:spacing w:lineRule="auto" w:line="480"/>
        <w:ind w:firstLine="720" w:start="3600" w:end="0"/>
        <w:jc w:val="both"/>
        <w:rPr/>
      </w:pPr>
      <w:r>
        <w:rPr/>
        <w:t>Respectfully submitted,</w:t>
      </w:r>
    </w:p>
    <w:p>
      <w:pPr>
        <w:pStyle w:val="Normal"/>
        <w:spacing w:lineRule="auto" w:line="480"/>
        <w:jc w:val="both"/>
        <w:rPr/>
      </w:pPr>
      <w:r>
        <w:rPr/>
      </w:r>
    </w:p>
    <w:p>
      <w:pPr>
        <w:pStyle w:val="Normal"/>
        <w:jc w:val="both"/>
        <w:rPr/>
      </w:pPr>
      <w:r>
        <w:rPr/>
        <w:tab/>
        <w:tab/>
        <w:tab/>
        <w:tab/>
        <w:tab/>
        <w:tab/>
        <w:t>_________________________________________</w:t>
        <w:tab/>
        <w:tab/>
        <w:tab/>
        <w:tab/>
        <w:tab/>
        <w:tab/>
        <w:tab/>
        <w:t>Kevin P. Mullen</w:t>
      </w:r>
    </w:p>
    <w:p>
      <w:pPr>
        <w:pStyle w:val="Normal"/>
        <w:jc w:val="both"/>
        <w:rPr/>
      </w:pPr>
      <w:r>
        <w:rPr/>
        <w:tab/>
        <w:tab/>
        <w:tab/>
        <w:tab/>
        <w:tab/>
        <w:tab/>
        <w:t>Bar No. 26216</w:t>
      </w:r>
    </w:p>
    <w:p>
      <w:pPr>
        <w:pStyle w:val="Normal"/>
        <w:jc w:val="both"/>
        <w:rPr/>
      </w:pPr>
      <w:r>
        <w:rPr/>
        <w:tab/>
        <w:tab/>
        <w:tab/>
        <w:tab/>
        <w:tab/>
        <w:tab/>
        <w:t>PIPER MARBURY RUDNICK &amp; WOLFE LLP</w:t>
      </w:r>
    </w:p>
    <w:p>
      <w:pPr>
        <w:pStyle w:val="Normal"/>
        <w:jc w:val="both"/>
        <w:rPr/>
      </w:pPr>
      <w:r>
        <w:rPr/>
        <w:tab/>
        <w:tab/>
        <w:tab/>
        <w:tab/>
        <w:tab/>
        <w:tab/>
        <w:t>1200 Nineteenth Street, N.W.</w:t>
      </w:r>
    </w:p>
    <w:p>
      <w:pPr>
        <w:pStyle w:val="Normal"/>
        <w:jc w:val="both"/>
        <w:rPr/>
      </w:pPr>
      <w:r>
        <w:rPr/>
        <w:tab/>
        <w:tab/>
        <w:tab/>
        <w:tab/>
        <w:tab/>
        <w:tab/>
        <w:t>Washington, D.C.  20036</w:t>
      </w:r>
    </w:p>
    <w:p>
      <w:pPr>
        <w:pStyle w:val="Normal"/>
        <w:jc w:val="both"/>
        <w:rPr/>
      </w:pPr>
      <w:r>
        <w:rPr/>
        <w:tab/>
        <w:tab/>
        <w:tab/>
        <w:tab/>
        <w:tab/>
        <w:tab/>
        <w:t>TEL:</w:t>
        <w:tab/>
        <w:t>(202) 861-3900</w:t>
      </w:r>
    </w:p>
    <w:p>
      <w:pPr>
        <w:pStyle w:val="Normal"/>
        <w:jc w:val="both"/>
        <w:rPr/>
      </w:pPr>
      <w:r>
        <w:rPr/>
        <w:tab/>
        <w:tab/>
        <w:tab/>
        <w:tab/>
        <w:tab/>
        <w:tab/>
        <w:t>FAX:</w:t>
        <w:tab/>
        <w:t>(202) 223-2085</w:t>
      </w:r>
    </w:p>
    <w:p>
      <w:pPr>
        <w:pStyle w:val="Normal"/>
        <w:jc w:val="both"/>
        <w:rPr/>
      </w:pPr>
      <w:r>
        <w:rPr/>
        <w:tab/>
        <w:tab/>
        <w:tab/>
        <w:tab/>
        <w:tab/>
        <w:tab/>
      </w:r>
    </w:p>
    <w:p>
      <w:pPr>
        <w:pStyle w:val="Normal"/>
        <w:jc w:val="both"/>
        <w:rPr/>
      </w:pPr>
      <w:r>
        <w:rPr/>
        <w:tab/>
        <w:tab/>
        <w:tab/>
        <w:tab/>
        <w:tab/>
        <w:tab/>
        <w:t>Attorney for Plaintiff,</w:t>
      </w:r>
    </w:p>
    <w:p>
      <w:pPr>
        <w:pStyle w:val="Normal"/>
        <w:jc w:val="both"/>
        <w:rPr/>
      </w:pPr>
      <w:r>
        <w:rPr/>
        <w:tab/>
        <w:tab/>
        <w:tab/>
        <w:tab/>
        <w:tab/>
        <w:tab/>
        <w:t>BALTIMORE GAS AND ELECTRIC COMPANY</w:t>
      </w:r>
    </w:p>
    <w:p>
      <w:pPr>
        <w:pStyle w:val="Normal"/>
        <w:jc w:val="both"/>
        <w:rPr/>
      </w:pPr>
      <w:r>
        <w:rPr/>
      </w:r>
    </w:p>
    <w:p>
      <w:pPr>
        <w:pStyle w:val="Normal"/>
        <w:jc w:val="both"/>
        <w:rPr/>
      </w:pPr>
      <w:r>
        <w:rPr/>
      </w:r>
      <w:r>
        <w:br w:type="page"/>
      </w:r>
    </w:p>
    <w:p>
      <w:pPr>
        <w:pStyle w:val="Normal"/>
        <w:jc w:val="both"/>
        <w:rPr>
          <w:u w:val="single"/>
        </w:rPr>
      </w:pPr>
      <w:r>
        <w:rPr>
          <w:u w:val="single"/>
        </w:rPr>
        <w:t>Of Counsel:</w:t>
      </w:r>
    </w:p>
    <w:p>
      <w:pPr>
        <w:pStyle w:val="Normal"/>
        <w:jc w:val="both"/>
        <w:rPr/>
      </w:pPr>
      <w:r>
        <w:rPr/>
      </w:r>
    </w:p>
    <w:p>
      <w:pPr>
        <w:pStyle w:val="Normal"/>
        <w:jc w:val="both"/>
        <w:rPr/>
      </w:pPr>
      <w:r>
        <w:rPr/>
        <w:t>Carl L. Vacketta</w:t>
      </w:r>
    </w:p>
    <w:p>
      <w:pPr>
        <w:pStyle w:val="Normal"/>
        <w:jc w:val="both"/>
        <w:rPr/>
      </w:pPr>
      <w:r>
        <w:rPr/>
        <w:t>Andrew M. Price</w:t>
      </w:r>
    </w:p>
    <w:p>
      <w:pPr>
        <w:pStyle w:val="Normal"/>
        <w:jc w:val="both"/>
        <w:rPr/>
      </w:pPr>
      <w:r>
        <w:rPr/>
        <w:t>PIPER MARBURY RUDNICK &amp; WOLFE LLP</w:t>
      </w:r>
    </w:p>
    <w:p>
      <w:pPr>
        <w:pStyle w:val="Normal"/>
        <w:jc w:val="both"/>
        <w:rPr/>
      </w:pPr>
      <w:r>
        <w:rPr/>
        <w:t>1200 Nineteenth Street, N.W.</w:t>
      </w:r>
    </w:p>
    <w:p>
      <w:pPr>
        <w:pStyle w:val="Normal"/>
        <w:jc w:val="both"/>
        <w:rPr/>
      </w:pPr>
      <w:r>
        <w:rPr/>
        <w:t>Washington, D.C.  20036</w:t>
      </w:r>
    </w:p>
    <w:p>
      <w:pPr>
        <w:pStyle w:val="Normal"/>
        <w:jc w:val="both"/>
        <w:rPr/>
      </w:pPr>
      <w:r>
        <w:rPr/>
        <w:t>TEL:</w:t>
        <w:tab/>
        <w:t>(202) 861-3900</w:t>
      </w:r>
    </w:p>
    <w:p>
      <w:pPr>
        <w:pStyle w:val="Normal"/>
        <w:jc w:val="both"/>
        <w:rPr/>
      </w:pPr>
      <w:r>
        <w:rPr/>
        <w:t>FAX:</w:t>
        <w:tab/>
        <w:t>(202) 223-2085</w:t>
      </w:r>
    </w:p>
    <w:p>
      <w:pPr>
        <w:pStyle w:val="Normal"/>
        <w:jc w:val="both"/>
        <w:rPr/>
      </w:pPr>
      <w:r>
        <w:rPr/>
      </w:r>
    </w:p>
    <w:p>
      <w:pPr>
        <w:pStyle w:val="Normal"/>
        <w:jc w:val="both"/>
        <w:rPr/>
      </w:pPr>
      <w:r>
        <w:rPr/>
        <w:t>Richard A. Ransom</w:t>
      </w:r>
    </w:p>
    <w:p>
      <w:pPr>
        <w:pStyle w:val="Normal"/>
        <w:jc w:val="both"/>
        <w:rPr/>
      </w:pPr>
      <w:r>
        <w:rPr/>
        <w:t>BALTIMORE GAS AND ELECTRIC COMPANY</w:t>
      </w:r>
    </w:p>
    <w:p>
      <w:pPr>
        <w:pStyle w:val="Normal"/>
        <w:jc w:val="both"/>
        <w:rPr/>
      </w:pPr>
      <w:r>
        <w:rPr/>
        <w:t>39 West Lexington Street</w:t>
      </w:r>
    </w:p>
    <w:p>
      <w:pPr>
        <w:pStyle w:val="Normal"/>
        <w:jc w:val="both"/>
        <w:rPr/>
      </w:pPr>
      <w:r>
        <w:rPr/>
        <w:t>Baltimore, Maryland  21201</w:t>
      </w:r>
    </w:p>
    <w:p>
      <w:pPr>
        <w:pStyle w:val="Normal"/>
        <w:jc w:val="both"/>
        <w:rPr/>
      </w:pPr>
      <w:r>
        <w:rPr/>
        <w:t>TEL:</w:t>
        <w:tab/>
        <w:t>(410) 234-6801</w:t>
      </w:r>
    </w:p>
    <w:p>
      <w:pPr>
        <w:pStyle w:val="Normal"/>
        <w:jc w:val="both"/>
        <w:rPr/>
      </w:pPr>
      <w:r>
        <w:rPr/>
        <w:t>FAX:</w:t>
        <w:tab/>
        <w:t>(410) 234-7025</w:t>
      </w:r>
    </w:p>
    <w:p>
      <w:pPr>
        <w:pStyle w:val="Normal"/>
        <w:jc w:val="both"/>
        <w:rPr/>
      </w:pPr>
      <w:r>
        <w:rPr/>
      </w:r>
    </w:p>
    <w:p>
      <w:pPr>
        <w:pStyle w:val="Normal"/>
        <w:jc w:val="both"/>
        <w:rPr/>
      </w:pPr>
      <w:r>
        <w:rPr/>
      </w:r>
    </w:p>
    <w:p>
      <w:pPr>
        <w:pStyle w:val="Normal"/>
        <w:jc w:val="both"/>
        <w:rPr/>
      </w:pPr>
      <w:r>
        <w:rPr/>
        <w:t>Dated:</w:t>
        <w:tab/>
        <w:t>August 28, 2000</w:t>
      </w:r>
    </w:p>
    <w:sectPr>
      <w:footerReference w:type="default" r:id="rId2"/>
      <w:footerReference w:type="first" r:id="rId3"/>
      <w:type w:val="nextPage"/>
      <w:pgSz w:w="12240" w:h="15840"/>
      <w:pgMar w:left="1440" w:right="1440" w:gutter="0" w:header="0" w:top="1440"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MarkCheckBox" w:val="FALS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480" w:after="0"/>
      <w:jc w:val="center"/>
      <w:outlineLvl w:val="0"/>
    </w:pPr>
    <w:rPr>
      <w:b/>
      <w:caps/>
      <w:color w:val="000080"/>
    </w:rPr>
  </w:style>
  <w:style w:type="paragraph" w:styleId="Heading2">
    <w:name w:val="heading 2"/>
    <w:basedOn w:val="Heading1"/>
    <w:next w:val="Normal"/>
    <w:qFormat/>
    <w:pPr>
      <w:numPr>
        <w:ilvl w:val="1"/>
        <w:numId w:val="1"/>
      </w:numPr>
      <w:spacing w:before="360" w:after="0"/>
      <w:outlineLvl w:val="1"/>
    </w:pPr>
    <w:rPr>
      <w:caps w:val="false"/>
      <w:smallCaps w:val="false"/>
      <w:color w:val="800000"/>
    </w:rPr>
  </w:style>
  <w:style w:type="paragraph" w:styleId="Heading3">
    <w:name w:val="heading 3"/>
    <w:basedOn w:val="Heading2"/>
    <w:next w:val="BodyText"/>
    <w:qFormat/>
    <w:pPr>
      <w:numPr>
        <w:ilvl w:val="2"/>
        <w:numId w:val="1"/>
      </w:numPr>
      <w:jc w:val="start"/>
      <w:outlineLvl w:val="2"/>
    </w:pPr>
    <w:rPr>
      <w:color w:val="008000"/>
    </w:rPr>
  </w:style>
  <w:style w:type="paragraph" w:styleId="Heading4">
    <w:name w:val="heading 4"/>
    <w:basedOn w:val="Heading3"/>
    <w:next w:val="BodyText"/>
    <w:qFormat/>
    <w:pPr>
      <w:numPr>
        <w:ilvl w:val="3"/>
        <w:numId w:val="1"/>
      </w:numPr>
      <w:outlineLvl w:val="3"/>
    </w:pPr>
    <w:rPr>
      <w:i/>
      <w:color w:val="auto"/>
    </w:rPr>
  </w:style>
  <w:style w:type="paragraph" w:styleId="Heading5">
    <w:name w:val="heading 5"/>
    <w:basedOn w:val="Heading4"/>
    <w:next w:val="BodyText"/>
    <w:qFormat/>
    <w:pPr>
      <w:numPr>
        <w:ilvl w:val="4"/>
        <w:numId w:val="1"/>
      </w:numPr>
      <w:outlineLvl w:val="4"/>
    </w:pPr>
    <w:rPr>
      <w:b w:val="fals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FF0000"/>
      <w:sz w:val="20"/>
      <w:vertAlign w:val="superscript"/>
    </w:rPr>
  </w:style>
  <w:style w:type="character" w:styleId="PageNumber">
    <w:name w:val="page number"/>
    <w:basedOn w:val="DefaultParagraphFont"/>
    <w:rPr/>
  </w:style>
  <w:style w:type="paragraph" w:styleId="Heading">
    <w:name w:val="Heading"/>
    <w:basedOn w:val="BodyText"/>
    <w:next w:val="BodyText"/>
    <w:qFormat/>
    <w:pPr>
      <w:spacing w:lineRule="auto" w:line="480" w:before="240" w:after="60"/>
      <w:jc w:val="center"/>
      <w:outlineLvl w:val="0"/>
    </w:pPr>
    <w:rPr>
      <w:rFonts w:ascii="Arial" w:hAnsi="Arial" w:cs="Arial"/>
      <w:b/>
      <w:smallCaps/>
      <w:kern w:val="2"/>
      <w:sz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Page">
    <w:name w:val="Page#"/>
    <w:basedOn w:val="Normal"/>
    <w:qFormat/>
    <w:pPr>
      <w:jc w:val="center"/>
    </w:pPr>
    <w:rPr>
      <w:sz w:val="20"/>
    </w:rPr>
  </w:style>
  <w:style w:type="paragraph" w:styleId="footerinfo">
    <w:name w:val="footerinfo"/>
    <w:basedOn w:val="Normal"/>
    <w:qFormat/>
    <w:pPr>
      <w:jc w:val="start"/>
    </w:pPr>
    <w:rPr>
      <w:rFonts w:ascii="Arial" w:hAnsi="Arial" w:cs="Arial"/>
      <w:color w:val="000000"/>
      <w:sz w:val="16"/>
    </w:rPr>
  </w:style>
  <w:style w:type="paragraph" w:styleId="Footer">
    <w:name w:val="footer"/>
    <w:basedOn w:val="Normal"/>
    <w:pPr>
      <w:tabs>
        <w:tab w:val="clear" w:pos="720"/>
        <w:tab w:val="center" w:pos="4147" w:leader="none"/>
        <w:tab w:val="right" w:pos="8280" w:leader="none"/>
      </w:tabs>
    </w:pPr>
    <w:rPr>
      <w:color w:val="000000"/>
    </w:rPr>
  </w:style>
  <w:style w:type="paragraph" w:styleId="envelopereturn1">
    <w:name w:val="envelope return1"/>
    <w:basedOn w:val="Normal"/>
    <w:qFormat/>
    <w:pPr>
      <w:jc w:val="start"/>
    </w:pPr>
    <w:rPr/>
  </w:style>
  <w:style w:type="paragraph" w:styleId="EnvelopeAddress">
    <w:name w:val="envelope address"/>
    <w:basedOn w:val="Normal"/>
    <w:pPr>
      <w:ind w:hanging="0" w:start="2880" w:end="0"/>
    </w:pPr>
    <w:rPr/>
  </w:style>
  <w:style w:type="paragraph" w:styleId="envelopeaddress1">
    <w:name w:val="envelope address1"/>
    <w:basedOn w:val="Normal"/>
    <w:qFormat/>
    <w:pPr>
      <w:ind w:hanging="0" w:start="2880" w:end="0"/>
      <w:jc w:val="start"/>
    </w:pPr>
    <w:rPr/>
  </w:style>
  <w:style w:type="paragraph" w:styleId="EnvelopeReturn">
    <w:name w:val="envelope return"/>
    <w:basedOn w:val="Normal"/>
    <w:pPr/>
    <w:rPr/>
  </w:style>
  <w:style w:type="paragraph" w:styleId="bodynoident">
    <w:name w:val="body no ident"/>
    <w:basedOn w:val="BodyText"/>
    <w:next w:val="BodyText"/>
    <w:qFormat/>
    <w:pPr>
      <w:ind w:hanging="0" w:start="0" w:end="0"/>
    </w:pPr>
    <w:rPr/>
  </w:style>
  <w:style w:type="paragraph" w:styleId="FootnoteText">
    <w:name w:val="footnote text"/>
    <w:basedOn w:val="Normal"/>
    <w:pPr>
      <w:spacing w:before="240" w:after="0"/>
      <w:ind w:hanging="864" w:start="950" w:end="0"/>
      <w:jc w:val="start"/>
    </w:pPr>
    <w:rPr>
      <w:sz w:val="20"/>
    </w:rPr>
  </w:style>
  <w:style w:type="paragraph" w:styleId="ListBullet2">
    <w:name w:val="List Bullet 2"/>
    <w:basedOn w:val="Normal"/>
    <w:pPr>
      <w:spacing w:before="240" w:after="0"/>
      <w:ind w:hanging="360" w:start="1080" w:end="0"/>
    </w:pPr>
    <w:rPr/>
  </w:style>
  <w:style w:type="paragraph" w:styleId="List2d">
    <w:name w:val="List 2.d"/>
    <w:basedOn w:val="ListBullet2"/>
    <w:qFormat/>
    <w:pPr>
      <w:tabs>
        <w:tab w:val="clear" w:pos="720"/>
        <w:tab w:val="decimal" w:pos="1224" w:leader="none"/>
      </w:tabs>
      <w:ind w:hanging="720" w:start="2160" w:end="0"/>
    </w:pPr>
    <w:rPr/>
  </w:style>
  <w:style w:type="paragraph" w:styleId="ListBullet3">
    <w:name w:val="List Bullet 3"/>
    <w:basedOn w:val="ListBullet2"/>
    <w:pPr>
      <w:ind w:hanging="360" w:start="1440" w:end="0"/>
    </w:pPr>
    <w:rPr/>
  </w:style>
  <w:style w:type="paragraph" w:styleId="List3d">
    <w:name w:val="List 3.d"/>
    <w:basedOn w:val="ListBullet3"/>
    <w:qFormat/>
    <w:pPr>
      <w:tabs>
        <w:tab w:val="clear" w:pos="720"/>
        <w:tab w:val="decimal" w:pos="1944" w:leader="none"/>
      </w:tabs>
      <w:ind w:hanging="720" w:start="2880" w:end="0"/>
    </w:pPr>
    <w:rPr/>
  </w:style>
  <w:style w:type="paragraph" w:styleId="ListBullet4">
    <w:name w:val="List Bullet 4"/>
    <w:basedOn w:val="ListBullet3"/>
    <w:pPr>
      <w:ind w:hanging="360" w:start="1800" w:end="0"/>
    </w:pPr>
    <w:rPr/>
  </w:style>
  <w:style w:type="paragraph" w:styleId="List4d">
    <w:name w:val="List 4.d"/>
    <w:basedOn w:val="ListBullet4"/>
    <w:qFormat/>
    <w:pPr>
      <w:tabs>
        <w:tab w:val="clear" w:pos="720"/>
        <w:tab w:val="decimal" w:pos="2664" w:leader="none"/>
      </w:tabs>
      <w:ind w:hanging="720" w:start="3600" w:end="0"/>
    </w:pPr>
    <w:rPr/>
  </w:style>
  <w:style w:type="paragraph" w:styleId="ListBullet5">
    <w:name w:val="List Bullet 5"/>
    <w:basedOn w:val="ListBullet4"/>
    <w:pPr>
      <w:ind w:hanging="360" w:start="2160" w:end="0"/>
    </w:pPr>
    <w:rPr/>
  </w:style>
  <w:style w:type="paragraph" w:styleId="List5d">
    <w:name w:val="List 5.d"/>
    <w:basedOn w:val="ListBullet5"/>
    <w:qFormat/>
    <w:pPr>
      <w:tabs>
        <w:tab w:val="clear" w:pos="720"/>
        <w:tab w:val="decimal" w:pos="3384" w:leader="none"/>
      </w:tabs>
      <w:ind w:hanging="720" w:start="4320" w:end="0"/>
    </w:pPr>
    <w:rPr/>
  </w:style>
  <w:style w:type="paragraph" w:styleId="NormalIndent">
    <w:name w:val="Normal Indent"/>
    <w:basedOn w:val="Normal"/>
    <w:qFormat/>
    <w:pPr>
      <w:spacing w:before="240" w:after="0"/>
      <w:ind w:hanging="0" w:start="720" w:end="0"/>
    </w:pPr>
    <w:rPr/>
  </w:style>
  <w:style w:type="paragraph" w:styleId="TOC1">
    <w:name w:val="toc 1"/>
    <w:basedOn w:val="Normal"/>
    <w:next w:val="Normal"/>
    <w:pPr>
      <w:spacing w:before="120" w:after="0"/>
      <w:ind w:hanging="0" w:start="360" w:end="-360"/>
    </w:pPr>
    <w:rPr/>
  </w:style>
  <w:style w:type="paragraph" w:styleId="TOC2">
    <w:name w:val="toc 2"/>
    <w:basedOn w:val="TOC1"/>
    <w:next w:val="Normal"/>
    <w:pPr>
      <w:tabs>
        <w:tab w:val="clear" w:pos="720"/>
        <w:tab w:val="decimal" w:pos="8640" w:leader="dot"/>
      </w:tabs>
      <w:spacing w:before="60" w:after="0"/>
      <w:ind w:hanging="360" w:start="1080" w:end="720"/>
    </w:pPr>
    <w:rPr/>
  </w:style>
  <w:style w:type="paragraph" w:styleId="TOC3">
    <w:name w:val="toc 3"/>
    <w:basedOn w:val="TOC2"/>
    <w:next w:val="Normal"/>
    <w:pPr>
      <w:ind w:hanging="360" w:start="1440" w:end="720"/>
    </w:pPr>
    <w:rPr/>
  </w:style>
  <w:style w:type="paragraph" w:styleId="TOC4">
    <w:name w:val="toc 4"/>
    <w:basedOn w:val="TOC3"/>
    <w:next w:val="Normal"/>
    <w:pPr>
      <w:ind w:hanging="360" w:start="1800" w:end="720"/>
    </w:pPr>
    <w:rPr/>
  </w:style>
  <w:style w:type="paragraph" w:styleId="TOC5">
    <w:name w:val="toc 5"/>
    <w:basedOn w:val="TOC4"/>
    <w:next w:val="Normal"/>
    <w:pPr>
      <w:ind w:hanging="360" w:start="2160" w:end="720"/>
    </w:pPr>
    <w:rPr/>
  </w:style>
  <w:style w:type="paragraph" w:styleId="Quote">
    <w:name w:val="Quote"/>
    <w:basedOn w:val="Normal"/>
    <w:qFormat/>
    <w:pPr>
      <w:spacing w:before="240" w:after="0"/>
      <w:ind w:hanging="0" w:start="1440" w:end="144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2000-08-25T12:52:00Z</dcterms:created>
  <dc:creator>m800</dc:creator>
  <dc:description/>
  <dc:language>en-CA</dc:language>
  <cp:lastModifiedBy>m800</cp:lastModifiedBy>
  <cp:lastPrinted>2000-08-23T14:17:00Z</cp:lastPrinted>
  <dcterms:modified xsi:type="dcterms:W3CDTF">2000-08-25T12:52:00Z</dcterms:modified>
  <cp:revision>2</cp:revision>
  <dc:subject/>
  <dc:title>UNITED STATES DISTRICT COURT</dc:title>
</cp:coreProperties>
</file>