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rFonts w:ascii="Arial" w:hAnsi="Arial" w:cs="Arial"/>
          <w:b/>
        </w:rPr>
      </w:pPr>
      <w:r>
        <w:rPr>
          <w:rFonts w:cs="Arial" w:ascii="Arial" w:hAnsi="Arial"/>
          <w:b/>
        </w:rPr>
        <w:t>UNITED STATES DISTRICT COURT</w:t>
      </w:r>
    </w:p>
    <w:p>
      <w:pPr>
        <w:pStyle w:val="Normal"/>
        <w:numPr>
          <w:ilvl w:val="0"/>
          <w:numId w:val="0"/>
        </w:numPr>
        <w:jc w:val="center"/>
        <w:outlineLvl w:val="0"/>
        <w:rPr>
          <w:rFonts w:ascii="Arial" w:hAnsi="Arial" w:cs="Arial"/>
          <w:b/>
        </w:rPr>
      </w:pPr>
      <w:r>
        <w:rPr>
          <w:rFonts w:cs="Arial" w:ascii="Arial" w:hAnsi="Arial"/>
          <w:b/>
        </w:rPr>
        <w:t>DISTRICT OF MARYLAND</w:t>
      </w:r>
    </w:p>
    <w:p>
      <w:pPr>
        <w:pStyle w:val="Normal"/>
        <w:jc w:val="center"/>
        <w:rPr>
          <w:rFonts w:ascii="Arial" w:hAnsi="Arial" w:cs="Arial"/>
          <w:b/>
        </w:rPr>
      </w:pPr>
      <w:r>
        <w:rPr>
          <w:rFonts w:cs="Arial" w:ascii="Arial" w:hAnsi="Arial"/>
          <w:b/>
        </w:rPr>
      </w:r>
    </w:p>
    <w:p>
      <w:pPr>
        <w:pStyle w:val="Normal"/>
        <w:rPr>
          <w:b/>
          <w:u w:val="single"/>
        </w:rPr>
      </w:pPr>
      <w:r>
        <w:rPr>
          <w:b/>
          <w:u w:val="single"/>
        </w:rPr>
        <w:tab/>
        <w:tab/>
        <w:tab/>
        <w:tab/>
        <w:tab/>
        <w:tab/>
        <w:tab/>
        <w:tab/>
      </w:r>
    </w:p>
    <w:p>
      <w:pPr>
        <w:pStyle w:val="Normal"/>
        <w:rPr>
          <w:b/>
        </w:rPr>
      </w:pPr>
      <w:r>
        <w:rPr>
          <w:b/>
        </w:rPr>
        <w:tab/>
        <w:tab/>
        <w:tab/>
        <w:tab/>
        <w:tab/>
        <w:tab/>
        <w:tab/>
        <w:tab/>
        <w:t>)</w:t>
      </w:r>
    </w:p>
    <w:p>
      <w:pPr>
        <w:pStyle w:val="Normal"/>
        <w:rPr>
          <w:b/>
        </w:rPr>
      </w:pPr>
      <w:r>
        <w:rPr>
          <w:b/>
        </w:rPr>
        <w:t>BALTIMORE GAS AND ELECTRIC COMPANY,</w:t>
        <w:tab/>
        <w:t>)</w:t>
      </w:r>
    </w:p>
    <w:p>
      <w:pPr>
        <w:pStyle w:val="Normal"/>
        <w:rPr>
          <w:b/>
        </w:rPr>
      </w:pPr>
      <w:r>
        <w:rPr>
          <w:b/>
        </w:rPr>
        <w:tab/>
        <w:tab/>
        <w:tab/>
        <w:tab/>
        <w:tab/>
        <w:tab/>
        <w:tab/>
        <w:tab/>
        <w:t>)</w:t>
      </w:r>
    </w:p>
    <w:p>
      <w:pPr>
        <w:pStyle w:val="Normal"/>
        <w:rPr>
          <w:b/>
        </w:rPr>
      </w:pPr>
      <w:r>
        <w:rPr>
          <w:b/>
        </w:rPr>
        <w:tab/>
        <w:tab/>
        <w:tab/>
        <w:tab/>
        <w:tab/>
        <w:t>Plaintiff,</w:t>
        <w:tab/>
        <w:tab/>
        <w:t>)</w:t>
      </w:r>
    </w:p>
    <w:p>
      <w:pPr>
        <w:pStyle w:val="Normal"/>
        <w:rPr>
          <w:b/>
        </w:rPr>
      </w:pPr>
      <w:r>
        <w:rPr>
          <w:b/>
        </w:rPr>
        <w:tab/>
        <w:tab/>
        <w:tab/>
        <w:tab/>
        <w:tab/>
        <w:tab/>
        <w:tab/>
        <w:tab/>
        <w:t>)</w:t>
      </w:r>
    </w:p>
    <w:p>
      <w:pPr>
        <w:pStyle w:val="Normal"/>
        <w:rPr>
          <w:b/>
        </w:rPr>
      </w:pPr>
      <w:r>
        <w:rPr>
          <w:b/>
        </w:rPr>
        <w:tab/>
        <w:tab/>
        <w:t>v.</w:t>
        <w:tab/>
        <w:tab/>
        <w:tab/>
        <w:tab/>
        <w:tab/>
        <w:tab/>
        <w:t>)</w:t>
        <w:tab/>
        <w:t>Civil Action No.  _________</w:t>
      </w:r>
    </w:p>
    <w:p>
      <w:pPr>
        <w:pStyle w:val="Normal"/>
        <w:rPr>
          <w:b/>
        </w:rPr>
      </w:pPr>
      <w:r>
        <w:rPr>
          <w:b/>
        </w:rPr>
        <w:tab/>
        <w:tab/>
        <w:tab/>
        <w:tab/>
        <w:tab/>
        <w:tab/>
        <w:tab/>
        <w:tab/>
        <w:t>)</w:t>
      </w:r>
    </w:p>
    <w:p>
      <w:pPr>
        <w:pStyle w:val="Normal"/>
        <w:rPr>
          <w:b/>
        </w:rPr>
      </w:pPr>
      <w:r>
        <w:rPr>
          <w:b/>
        </w:rPr>
        <w:t>THE UNITED STATES</w:t>
        <w:tab/>
        <w:tab/>
        <w:tab/>
        <w:tab/>
        <w:tab/>
        <w:t>)</w:t>
      </w:r>
    </w:p>
    <w:p>
      <w:pPr>
        <w:pStyle w:val="Normal"/>
        <w:rPr>
          <w:b/>
        </w:rPr>
      </w:pPr>
      <w:r>
        <w:rPr>
          <w:b/>
        </w:rPr>
        <w:tab/>
        <w:tab/>
        <w:tab/>
        <w:tab/>
        <w:tab/>
        <w:tab/>
        <w:tab/>
        <w:tab/>
        <w:t>)</w:t>
      </w:r>
    </w:p>
    <w:p>
      <w:pPr>
        <w:pStyle w:val="Normal"/>
        <w:rPr>
          <w:b/>
        </w:rPr>
      </w:pPr>
      <w:r>
        <w:rPr>
          <w:b/>
        </w:rPr>
        <w:tab/>
        <w:tab/>
        <w:t>and</w:t>
        <w:tab/>
        <w:tab/>
        <w:tab/>
        <w:tab/>
        <w:tab/>
        <w:tab/>
        <w:t>)</w:t>
      </w:r>
    </w:p>
    <w:p>
      <w:pPr>
        <w:pStyle w:val="Normal"/>
        <w:rPr>
          <w:b/>
        </w:rPr>
      </w:pPr>
      <w:r>
        <w:rPr>
          <w:b/>
        </w:rPr>
        <w:tab/>
        <w:tab/>
        <w:tab/>
        <w:tab/>
        <w:tab/>
        <w:tab/>
        <w:tab/>
        <w:tab/>
        <w:t>)</w:t>
      </w:r>
    </w:p>
    <w:p>
      <w:pPr>
        <w:pStyle w:val="Normal"/>
        <w:rPr>
          <w:b/>
        </w:rPr>
      </w:pPr>
      <w:r>
        <w:rPr>
          <w:b/>
        </w:rPr>
        <w:t>LOUIS CALDERA,</w:t>
        <w:tab/>
        <w:tab/>
        <w:tab/>
        <w:tab/>
        <w:tab/>
        <w:tab/>
        <w:t>)</w:t>
      </w:r>
    </w:p>
    <w:p>
      <w:pPr>
        <w:pStyle w:val="Normal"/>
        <w:rPr>
          <w:b/>
        </w:rPr>
      </w:pPr>
      <w:r>
        <w:rPr>
          <w:b/>
        </w:rPr>
        <w:t>Secretary of the Army,</w:t>
        <w:tab/>
        <w:tab/>
        <w:tab/>
        <w:tab/>
        <w:tab/>
        <w:t>)</w:t>
      </w:r>
    </w:p>
    <w:p>
      <w:pPr>
        <w:pStyle w:val="Normal"/>
        <w:rPr>
          <w:b/>
        </w:rPr>
      </w:pPr>
      <w:r>
        <w:rPr>
          <w:b/>
        </w:rPr>
        <w:tab/>
        <w:tab/>
        <w:tab/>
        <w:tab/>
        <w:tab/>
        <w:tab/>
        <w:tab/>
        <w:tab/>
        <w:t>)</w:t>
      </w:r>
    </w:p>
    <w:p>
      <w:pPr>
        <w:pStyle w:val="Normal"/>
        <w:rPr>
          <w:b/>
        </w:rPr>
      </w:pPr>
      <w:r>
        <w:rPr>
          <w:b/>
        </w:rPr>
        <w:tab/>
        <w:tab/>
        <w:tab/>
        <w:tab/>
        <w:tab/>
        <w:t>Defendants.</w:t>
        <w:tab/>
        <w:tab/>
        <w:t>)</w:t>
      </w:r>
    </w:p>
    <w:p>
      <w:pPr>
        <w:pStyle w:val="Normal"/>
        <w:rPr>
          <w:b/>
          <w:u w:val="single"/>
        </w:rPr>
      </w:pPr>
      <w:r>
        <w:rPr>
          <w:b/>
          <w:u w:val="single"/>
        </w:rPr>
        <w:tab/>
        <w:tab/>
        <w:tab/>
        <w:tab/>
        <w:tab/>
        <w:tab/>
        <w:tab/>
        <w:tab/>
        <w:t>)</w:t>
      </w:r>
    </w:p>
    <w:p>
      <w:pPr>
        <w:pStyle w:val="Normal"/>
        <w:rPr>
          <w:b/>
          <w:u w:val="single"/>
        </w:rPr>
      </w:pPr>
      <w:r>
        <w:rPr>
          <w:b/>
          <w:u w:val="single"/>
        </w:rPr>
      </w:r>
    </w:p>
    <w:p>
      <w:pPr>
        <w:pStyle w:val="Normal"/>
        <w:rPr>
          <w:b/>
        </w:rPr>
      </w:pPr>
      <w:r>
        <w:rPr>
          <w:b/>
        </w:rPr>
      </w:r>
    </w:p>
    <w:p>
      <w:pPr>
        <w:pStyle w:val="Normal"/>
        <w:jc w:val="center"/>
        <w:rPr/>
      </w:pPr>
      <w:r>
        <w:rPr>
          <w:rFonts w:cs="Arial" w:ascii="Arial" w:hAnsi="Arial"/>
          <w:b/>
        </w:rPr>
        <w:t>MEMORANDUM IN SUPPORT OF</w:t>
        <w:br/>
      </w:r>
      <w:r>
        <w:rPr>
          <w:rFonts w:cs="Arial" w:ascii="Arial" w:hAnsi="Arial"/>
          <w:b/>
          <w:u w:val="single"/>
        </w:rPr>
        <w:t>PLAINTIFF’S MOTION FOR PRELIMINARY INJUNCTION</w:t>
      </w:r>
    </w:p>
    <w:p>
      <w:pPr>
        <w:pStyle w:val="Normal"/>
        <w:jc w:val="center"/>
        <w:rPr>
          <w:rFonts w:ascii="Arial" w:hAnsi="Arial" w:cs="Arial"/>
          <w:b/>
          <w:u w:val="single"/>
        </w:rPr>
      </w:pPr>
      <w:r>
        <w:rPr>
          <w:rFonts w:cs="Arial" w:ascii="Arial" w:hAnsi="Arial"/>
          <w:b/>
          <w:u w:val="single"/>
        </w:rPr>
      </w:r>
    </w:p>
    <w:p>
      <w:pPr>
        <w:pStyle w:val="bodytext1"/>
        <w:spacing w:lineRule="auto" w:line="480"/>
        <w:jc w:val="both"/>
        <w:rPr/>
      </w:pPr>
      <w:r>
        <w:rPr/>
        <w:t>Plaintiff, Baltimore Gas and Electric Company (“BGE”), submits this memorandum in support of its Motion for Preliminary Injunction.</w:t>
      </w:r>
    </w:p>
    <w:p>
      <w:pPr>
        <w:pStyle w:val="Normal"/>
        <w:jc w:val="center"/>
        <w:rPr>
          <w:rFonts w:ascii="Arial" w:hAnsi="Arial" w:cs="Arial"/>
          <w:b/>
        </w:rPr>
      </w:pPr>
      <w:r>
        <w:rPr>
          <w:rFonts w:cs="Arial" w:ascii="Arial" w:hAnsi="Arial"/>
          <w:b/>
        </w:rPr>
      </w:r>
    </w:p>
    <w:p>
      <w:pPr>
        <w:pStyle w:val="Normal"/>
        <w:numPr>
          <w:ilvl w:val="0"/>
          <w:numId w:val="0"/>
        </w:numPr>
        <w:jc w:val="center"/>
        <w:outlineLvl w:val="0"/>
        <w:rPr>
          <w:rFonts w:ascii="Arial" w:hAnsi="Arial" w:cs="Arial"/>
          <w:b/>
        </w:rPr>
      </w:pPr>
      <w:r>
        <w:rPr>
          <w:rFonts w:cs="Arial" w:ascii="Arial" w:hAnsi="Arial"/>
          <w:b/>
        </w:rPr>
        <w:t>INTRODUCTION</w:t>
      </w:r>
      <w:r>
        <w:fldChar w:fldCharType="begin"/>
      </w:r>
      <w:r>
        <w:rPr/>
        <w:instrText xml:space="preserve"> TC "INTRODUCTION" \l 1 </w:instrText>
      </w:r>
      <w:r>
        <w:rPr/>
        <w:fldChar w:fldCharType="separate"/>
      </w:r>
      <w:r>
        <w:rPr/>
      </w:r>
      <w:r>
        <w:rPr/>
        <w:fldChar w:fldCharType="end"/>
      </w:r>
    </w:p>
    <w:p>
      <w:pPr>
        <w:pStyle w:val="bodytext1"/>
        <w:spacing w:lineRule="auto" w:line="480"/>
        <w:ind w:end="-360"/>
        <w:jc w:val="both"/>
        <w:rPr/>
      </w:pPr>
      <w:r>
        <w:rPr/>
        <w:t>In its Complaint for Declaratory Judgment and Injunctive Relief Enjoining Award of a U.S. Government Contract (“Complaint”), BGE protests the terms of Solicitation No. DACA31-00-R-026 issued by the U.S. Army Corps of Engineers (“Army”).  The Solicitation, issued on behalf of the Military District of Washington (“MDW”) and known as the “Consolidated Utility Privatization RFP,” concerns the privatization of the National Capital Region’s utility distribution systems.  Specifically, the Solicitation involves the transfer to private entities of ownership, operation and maintenance responsibility for select electric, natural gas, water and sewer distribution systems currently owned, operated and maintained by the Government at Fort Meade (Maryland), Fort McNair (Washington, D.C.), Fort Myer (Virginia), Fort Belvoir (Virginia) and Fort A.P. Hill (Virginia).</w:t>
      </w:r>
    </w:p>
    <w:p>
      <w:pPr>
        <w:pStyle w:val="bodytext1"/>
        <w:spacing w:lineRule="auto" w:line="480"/>
        <w:ind w:end="-360"/>
        <w:jc w:val="both"/>
        <w:rPr/>
      </w:pPr>
      <w:r>
        <w:rPr/>
        <w:t>Currently, BGE is the only entity with the service territory and franchise rights authorized by the Public Service Commission of Maryland (“PSC”) to own, operate and maintain distribution systems for electric and natural gas services in the Fort Meade area.  As explained below, the referenced Solicitation violates federal and Maryland law by failing to incorporate the authority and jurisdiction of the PSC to regulate the utility privatization contractor at Fort Meade.</w:t>
      </w:r>
    </w:p>
    <w:p>
      <w:pPr>
        <w:pStyle w:val="bodytext1"/>
        <w:spacing w:lineRule="auto" w:line="480"/>
        <w:ind w:end="-360"/>
        <w:jc w:val="both"/>
        <w:rPr/>
      </w:pPr>
      <w:r>
        <w:rPr/>
        <w:t>Federal statutes, regulations and directives governing the privatization of utility distribution systems for military installations and the purchase of utility services by the Department of Defense (“DOD”) expressly prohibit the Government from purchasing electric and natural gas services in a manner inconsistent with State law, regulations and rulings pertaining to utility services and related franchises and service territories.  Because the Solicitation does not require the awardee to possess the requisite service territory and franchise rights to own, operate and maintain Fort Meade’s electric and natural gas distribution systems, the Solicitation violates Maryland law, regulations and rulings pertaining to utility services, as well as these federal statutes, regulations and directives.  In addition, the Solicitation violates the Appropriations Clause of the United States Constitution by expending public funds in a manner inconsistent with the intent of Congress.</w:t>
      </w:r>
    </w:p>
    <w:p>
      <w:pPr>
        <w:pStyle w:val="bodytext1"/>
        <w:spacing w:lineRule="auto" w:line="480"/>
        <w:ind w:end="-360"/>
        <w:jc w:val="both"/>
        <w:rPr/>
      </w:pPr>
      <w:r>
        <w:rPr/>
        <w:t>Despite BGE’s long-standing and continuing objection to this RFP and the predecessor Solicitation, and despite the PSC’s issuance of a formal Opinion confirming BGE’s position, the Army has not revised the RFP to comply with State and federal law.  Although BGE filed an agency protest regarding the previous Solicitation (RFP No. DACA31-99-R-0044), the Army dismissed the protest after cancellation of the Solicitation.  Despite the issuance of a new RFP, however, the Army still has not incorporated PSC authority and jurisdiction, as legally required.  Consequently, BGE filed a second agency protest.  Despite this second protest filing, the Army did not postpone the receipt of proposals, which indicated its intention to deny the agency protest.  Therefore, in response to this adverse agency action, BGE was forced to file a bid protest with the U.S. General Accounting Office (“GAO”).</w:t>
      </w:r>
    </w:p>
    <w:p>
      <w:pPr>
        <w:pStyle w:val="bodytext1"/>
        <w:spacing w:lineRule="auto" w:line="480"/>
        <w:ind w:end="-360"/>
        <w:jc w:val="both"/>
        <w:rPr/>
      </w:pPr>
      <w:r>
        <w:rPr/>
        <w:t xml:space="preserve">GAO denied BGE’s protest.  In its decision, GAO adopts the Army’s legal position regarding the Solicitation, and concludes that DOD’s utility privatization procurements are exempt from State laws and PSC regulations and rulings pertaining to the provision of utility services.  The GAO decision is legally erroneous, and constitutes inappropriate deference to DOD’s refusal to comply with State utility law.  </w:t>
      </w:r>
      <w:r>
        <w:rPr>
          <w:i/>
        </w:rPr>
        <w:t>See</w:t>
      </w:r>
      <w:r>
        <w:rPr/>
        <w:t xml:space="preserve"> Complaint, ¶ 52.  BGE requests that the Court adjudicate this important legal issue, notwithstanding the GAO’s decision.</w:t>
      </w:r>
    </w:p>
    <w:p>
      <w:pPr>
        <w:pStyle w:val="bodytext1"/>
        <w:spacing w:lineRule="auto" w:line="480"/>
        <w:ind w:end="-360"/>
        <w:jc w:val="both"/>
        <w:rPr/>
      </w:pPr>
      <w:r>
        <w:rPr/>
        <w:t>For the reasons discussed herein, BGE respectfully requests that the Court declare the privatization solicitation to be illegal, and enjoin the Army from proceeding with the solicitation, awarding a privatization contract for the Fort Meade utility distribution systems, or otherwise expending further public funds on the procurement.</w:t>
      </w:r>
    </w:p>
    <w:p>
      <w:pPr>
        <w:pStyle w:val="Normal"/>
        <w:jc w:val="center"/>
        <w:rPr>
          <w:rFonts w:ascii="Arial" w:hAnsi="Arial" w:cs="Arial"/>
          <w:b/>
        </w:rPr>
      </w:pPr>
      <w:r>
        <w:rPr>
          <w:rFonts w:cs="Arial" w:ascii="Arial" w:hAnsi="Arial"/>
          <w:b/>
        </w:rPr>
      </w:r>
      <w:r>
        <w:br w:type="page"/>
      </w:r>
    </w:p>
    <w:p>
      <w:pPr>
        <w:pStyle w:val="Normal"/>
        <w:numPr>
          <w:ilvl w:val="0"/>
          <w:numId w:val="0"/>
        </w:numPr>
        <w:jc w:val="center"/>
        <w:outlineLvl w:val="0"/>
        <w:rPr>
          <w:rFonts w:ascii="Arial" w:hAnsi="Arial" w:cs="Arial"/>
          <w:b/>
        </w:rPr>
      </w:pPr>
      <w:r>
        <w:rPr>
          <w:rFonts w:cs="Arial" w:ascii="Arial" w:hAnsi="Arial"/>
          <w:b/>
        </w:rPr>
        <w:t>FACTUAL BACKGROUND</w:t>
      </w:r>
      <w:r>
        <w:fldChar w:fldCharType="begin"/>
      </w:r>
      <w:r>
        <w:rPr/>
        <w:instrText xml:space="preserve"> TC "FACTUAL BACKGROUND" \l 1 </w:instrText>
      </w:r>
      <w:r>
        <w:rPr/>
        <w:fldChar w:fldCharType="separate"/>
      </w:r>
      <w:r>
        <w:rPr/>
      </w:r>
      <w:r>
        <w:rPr/>
        <w:fldChar w:fldCharType="end"/>
      </w:r>
    </w:p>
    <w:p>
      <w:pPr>
        <w:pStyle w:val="bodytext1"/>
        <w:spacing w:lineRule="auto" w:line="480"/>
        <w:jc w:val="both"/>
        <w:rPr/>
      </w:pPr>
      <w:r>
        <w:rPr/>
        <w:t xml:space="preserve">The facts pertinent to Plaintiff’s Motion for Preliminary Injunction are set forth in BGE’s Complaint.  </w:t>
      </w:r>
      <w:r>
        <w:rPr>
          <w:i/>
        </w:rPr>
        <w:t>See</w:t>
      </w:r>
      <w:r>
        <w:rPr/>
        <w:t xml:space="preserve"> Complaint, “Statement of Facts,” ¶¶ 8-54.</w:t>
      </w:r>
    </w:p>
    <w:p>
      <w:pPr>
        <w:pStyle w:val="Normal"/>
        <w:jc w:val="center"/>
        <w:rPr>
          <w:rFonts w:ascii="Arial" w:hAnsi="Arial" w:cs="Arial"/>
          <w:b/>
        </w:rPr>
      </w:pPr>
      <w:r>
        <w:rPr>
          <w:rFonts w:cs="Arial" w:ascii="Arial" w:hAnsi="Arial"/>
          <w:b/>
        </w:rPr>
      </w:r>
    </w:p>
    <w:p>
      <w:pPr>
        <w:pStyle w:val="Normal"/>
        <w:numPr>
          <w:ilvl w:val="0"/>
          <w:numId w:val="0"/>
        </w:numPr>
        <w:jc w:val="center"/>
        <w:outlineLvl w:val="0"/>
        <w:rPr>
          <w:rFonts w:ascii="Arial" w:hAnsi="Arial" w:cs="Arial"/>
          <w:b/>
        </w:rPr>
      </w:pPr>
      <w:r>
        <w:rPr>
          <w:rFonts w:cs="Arial" w:ascii="Arial" w:hAnsi="Arial"/>
          <w:b/>
        </w:rPr>
        <w:t>ARGUMENT</w:t>
      </w:r>
      <w:r>
        <w:fldChar w:fldCharType="begin"/>
      </w:r>
      <w:r>
        <w:rPr/>
        <w:instrText xml:space="preserve"> TC "ARGUMENT" \l 1 </w:instrText>
      </w:r>
      <w:r>
        <w:rPr/>
        <w:fldChar w:fldCharType="separate"/>
      </w:r>
      <w:r>
        <w:rPr/>
      </w:r>
      <w:r>
        <w:rPr/>
        <w:fldChar w:fldCharType="end"/>
      </w:r>
    </w:p>
    <w:p>
      <w:pPr>
        <w:pStyle w:val="bodytext1"/>
        <w:spacing w:lineRule="auto" w:line="480"/>
        <w:jc w:val="both"/>
        <w:rPr/>
      </w:pPr>
      <w:r>
        <w:rPr/>
        <w:t xml:space="preserve">The United States Court of Appeals for the Fourth Circuit articulated the applicable standard and principles governing this Court’s consideration of a motion for preliminary injunctive relief in </w:t>
      </w:r>
      <w:r>
        <w:rPr>
          <w:i/>
        </w:rPr>
        <w:t xml:space="preserve">Blackwelder Furniture Company of Statesville, Inc. v. Seilig Manufacturing Company, Inc., </w:t>
      </w:r>
      <w:r>
        <w:rPr/>
        <w:t>550 F.2d 189 (4</w:t>
      </w:r>
      <w:r>
        <w:rPr>
          <w:vertAlign w:val="superscript"/>
        </w:rPr>
        <w:t>th</w:t>
      </w:r>
      <w:r>
        <w:rPr/>
        <w:t xml:space="preserve"> Cir. 1977).  Specifically, a district court should consider whether:  (i) the plaintiff is likely to succeed on the merits of its claim, (ii) the plaintiff will suffer irreparable harm and has no adequate legal remedy, (iii) the plaintiff’s harm outweighs the harm to the defendant, and (iv) granting injunctive relief will serve the public interest.  </w:t>
      </w:r>
      <w:r>
        <w:rPr>
          <w:i/>
        </w:rPr>
        <w:t>Id.</w:t>
      </w:r>
    </w:p>
    <w:p>
      <w:pPr>
        <w:pStyle w:val="bodytext1"/>
        <w:spacing w:lineRule="auto" w:line="480"/>
        <w:jc w:val="both"/>
        <w:rPr/>
      </w:pPr>
      <w:r>
        <w:rPr/>
        <w:t xml:space="preserve">When applying this well-established four-prong test for injunctive relief, the district court should give special significance to the probability of injury to the plaintiff if not granted relief, and the probability of harm to the defendant if relief is granted.  “If that balance is struck in favor of plaintiff, it is enough that grave or serious questions are presented; and plaintiff need not show a likelihood of success.”  </w:t>
      </w:r>
      <w:r>
        <w:rPr>
          <w:i/>
        </w:rPr>
        <w:t>Id.,</w:t>
      </w:r>
      <w:r>
        <w:rPr/>
        <w:t xml:space="preserve"> at 196.  </w:t>
      </w:r>
      <w:r>
        <w:rPr>
          <w:i/>
        </w:rPr>
        <w:t>See also Fort Sumter Tours, Inc. v. Andrus,</w:t>
      </w:r>
      <w:r>
        <w:rPr/>
        <w:t xml:space="preserve"> 564 F.2d 1119, 1124 (4</w:t>
      </w:r>
      <w:r>
        <w:rPr>
          <w:vertAlign w:val="superscript"/>
        </w:rPr>
        <w:t>th</w:t>
      </w:r>
      <w:r>
        <w:rPr/>
        <w:t xml:space="preserve"> Cir. 1977);</w:t>
      </w:r>
      <w:r>
        <w:rPr>
          <w:i/>
        </w:rPr>
        <w:t xml:space="preserve"> United States, ex. rel., Taxpayers Against Fraud v. Link Flight Simulation Corporation,</w:t>
      </w:r>
      <w:r>
        <w:rPr/>
        <w:t xml:space="preserve"> 722 F. Supp. 1248, 1251-52 (D. Md. 1989).  Consistent with the applicable legal standard, and as explained below, Plaintiff BGE is entitled to a preliminary injunction to prohibit the Army from awarding a contract under the Privatization Solicitation.</w:t>
      </w:r>
    </w:p>
    <w:p>
      <w:pPr>
        <w:pStyle w:val="Normal"/>
        <w:numPr>
          <w:ilvl w:val="0"/>
          <w:numId w:val="0"/>
        </w:numPr>
        <w:ind w:start="720" w:end="0"/>
        <w:outlineLvl w:val="0"/>
        <w:rPr>
          <w:b/>
        </w:rPr>
      </w:pPr>
      <w:r>
        <w:rPr>
          <w:b/>
        </w:rPr>
      </w:r>
    </w:p>
    <w:p>
      <w:pPr>
        <w:pStyle w:val="Normal"/>
        <w:keepNext w:val="true"/>
        <w:numPr>
          <w:ilvl w:val="0"/>
          <w:numId w:val="0"/>
        </w:numPr>
        <w:ind w:start="720" w:end="0"/>
        <w:outlineLvl w:val="0"/>
        <w:rPr/>
      </w:pPr>
      <w:r>
        <w:rPr>
          <w:b/>
        </w:rPr>
        <w:t>I.</w:t>
        <w:tab/>
      </w:r>
      <w:r>
        <w:rPr>
          <w:b/>
          <w:i/>
          <w:u w:val="single"/>
        </w:rPr>
        <w:t>Plaintiff Is Likely To Succeed On The Merits</w:t>
      </w:r>
      <w:r>
        <w:rPr>
          <w:b/>
          <w:u w:val="single"/>
        </w:rPr>
        <w:t>.</w:t>
      </w:r>
      <w:r>
        <w:fldChar w:fldCharType="begin"/>
      </w:r>
      <w:r>
        <w:rPr/>
        <w:instrText xml:space="preserve"> TC "I.</w:instrText>
        <w:tab/>
        <w:instrText xml:space="preserve">Plaintiff Is Likely To Succeed On The Merits." \l 2 </w:instrText>
      </w:r>
      <w:r>
        <w:rPr/>
        <w:fldChar w:fldCharType="separate"/>
      </w:r>
      <w:r>
        <w:rPr/>
      </w:r>
      <w:r>
        <w:rPr/>
        <w:fldChar w:fldCharType="end"/>
      </w:r>
    </w:p>
    <w:p>
      <w:pPr>
        <w:pStyle w:val="BodyText"/>
        <w:keepNext w:val="true"/>
        <w:spacing w:lineRule="auto" w:line="480"/>
        <w:jc w:val="both"/>
        <w:rPr/>
      </w:pPr>
      <w:r>
        <w:rPr/>
        <w:t xml:space="preserve">The Consolidated Utility Privatization RFP violates both federal law and Maryland law by failing to recognize the PSC’s authority and jurisdiction to regulate the contract awardee at Fort Meade.  Under Maryland law, and the regulations and rulings of the Maryland PSC, BGE currently is the only entity authorized to own, operate and maintain Fort Meade’s electric and/or natural gas distribution systems.  Any other entity first must obtain authorization from Anne Arundel County, the State, and the PSC before performing such work in the Fort Meade area.  As confirmed by the PSC, its authority and jurisdiction extends to public service companies operating within Fort Meade’s boundaries.  </w:t>
      </w:r>
      <w:r>
        <w:rPr>
          <w:i/>
        </w:rPr>
        <w:t>See</w:t>
      </w:r>
      <w:r>
        <w:rPr/>
        <w:t xml:space="preserve"> Complaint, ¶ 33.  Indeed, federal statutes and regulations </w:t>
      </w:r>
      <w:r>
        <w:rPr>
          <w:u w:val="single"/>
        </w:rPr>
        <w:t>require</w:t>
      </w:r>
      <w:r>
        <w:rPr/>
        <w:t xml:space="preserve"> that the Army privatize its utility systems in a manner consistent with State law, including PSC authority and jurisdiction.  Moreover, neither the United States Constitution’s Federal Enclave clause nor the Supremacy clause exempts the Army from these legal requirements.  BGE’s protest presents serious legal questions, and a preliminary injunction should be granted until they can be properly adjudicated by the Court.  </w:t>
      </w:r>
      <w:r>
        <w:rPr>
          <w:i/>
        </w:rPr>
        <w:t xml:space="preserve">See Blackwelder Furniture Company of Statesville, Inc., supra., </w:t>
      </w:r>
      <w:r>
        <w:rPr/>
        <w:t>550 F.2d at 196.</w:t>
      </w:r>
    </w:p>
    <w:p>
      <w:pPr>
        <w:pStyle w:val="Normal"/>
        <w:ind w:hanging="720" w:start="2160" w:end="0"/>
        <w:jc w:val="both"/>
        <w:rPr>
          <w:u w:val="single"/>
        </w:rPr>
      </w:pPr>
      <w:r>
        <w:rPr/>
        <w:t>A.</w:t>
        <w:tab/>
      </w:r>
      <w:r>
        <w:rPr>
          <w:u w:val="single"/>
        </w:rPr>
        <w:t>The States Possess Regulatory Authority Over Intrastate Utility Services.</w:t>
      </w:r>
      <w:r>
        <w:fldChar w:fldCharType="begin"/>
      </w:r>
      <w:r>
        <w:rPr/>
        <w:instrText xml:space="preserve"> TC "A.</w:instrText>
        <w:tab/>
        <w:instrText xml:space="preserve">The States Possess Regulatory Authority Over Intrastate Utility Services." \l 3 </w:instrText>
      </w:r>
      <w:r>
        <w:rPr/>
        <w:fldChar w:fldCharType="separate"/>
      </w:r>
      <w:r>
        <w:rPr/>
      </w:r>
      <w:r>
        <w:rPr/>
        <w:fldChar w:fldCharType="end"/>
      </w:r>
    </w:p>
    <w:p>
      <w:pPr>
        <w:pStyle w:val="BodyText"/>
        <w:spacing w:lineRule="auto" w:line="480"/>
        <w:jc w:val="both"/>
        <w:rPr/>
      </w:pPr>
      <w:r>
        <w:rPr/>
        <w:t>As a fundamental matter, the Army’s legal obligation to comply with Maryland law when privatizing Fort Meade’s electric and natural gas distribution systems must be evaluated within the well-established context of State regulation over the provision of utility services.  The Army ignores the exclusive dominion of the States over regulation of intrastate utilities, when interpreting the federal statutes, regulations and directives governing the Department of Defense (“DOD”) utility privatization initiative.  However, when the special regulatory role of the States is properly considered, it becomes quite clear that the Army cannot justify -- under the Constitution or otherwise -- its blatant violation of Maryland law governing the provision of utility service.</w:t>
      </w:r>
    </w:p>
    <w:p>
      <w:pPr>
        <w:pStyle w:val="BodyText"/>
        <w:spacing w:lineRule="auto" w:line="480"/>
        <w:jc w:val="both"/>
        <w:rPr/>
      </w:pPr>
      <w:r>
        <w:rPr/>
        <w:t xml:space="preserve">Congress enacted the Federal Power Act of 1935 and the Natural Gas Act of 1938 to apportion regulatory power over utility services between the State and federal governments.  </w:t>
      </w:r>
      <w:r>
        <w:rPr>
          <w:i/>
        </w:rPr>
        <w:t>See, e.g., Connecticut Light &amp; Power Co. v. Federal Power Commission,</w:t>
      </w:r>
      <w:r>
        <w:rPr/>
        <w:t xml:space="preserve"> 324 U.S. 515, 525-527 (1945); </w:t>
      </w:r>
      <w:r>
        <w:rPr>
          <w:i/>
        </w:rPr>
        <w:t>Federal Power Commission v. Southern California Edison Co.,</w:t>
      </w:r>
      <w:r>
        <w:rPr/>
        <w:t xml:space="preserve"> 376 U.S. 205, 212 (1964).  Under the Federal Power Act, the States possess exclusive authority over the transmission, distribution and sale of electric services within their respective State borders.  The State public service commissions perform this regulatory function.  </w:t>
      </w:r>
      <w:r>
        <w:rPr>
          <w:i/>
        </w:rPr>
        <w:t>See</w:t>
      </w:r>
      <w:r>
        <w:rPr/>
        <w:t xml:space="preserve"> 16 U.S.C. § 824(b)(1).  The federal government retains jurisdiction and regulatory control over electric transmission, distribution and sales across State lines.  </w:t>
      </w:r>
      <w:r>
        <w:rPr>
          <w:i/>
        </w:rPr>
        <w:t>Id.</w:t>
      </w:r>
      <w:r>
        <w:rPr/>
        <w:t xml:space="preserve">  In a similar fashion, the Natural Gas Act delegates to the States exclusive regulatory authority over intrastate distribution and sale of natural gas.  </w:t>
      </w:r>
      <w:r>
        <w:rPr>
          <w:i/>
        </w:rPr>
        <w:t>See</w:t>
      </w:r>
      <w:r>
        <w:rPr/>
        <w:t xml:space="preserve"> 15 U.S.C. § 717(c).  The federal government maintains jurisdiction over interstate natural gas distribution and sales.  </w:t>
      </w:r>
      <w:r>
        <w:rPr>
          <w:i/>
        </w:rPr>
        <w:t>See</w:t>
      </w:r>
      <w:r>
        <w:rPr/>
        <w:t xml:space="preserve"> 15 U.S.C. § 717(b).</w:t>
      </w:r>
    </w:p>
    <w:p>
      <w:pPr>
        <w:pStyle w:val="BodyText"/>
        <w:spacing w:lineRule="auto" w:line="480"/>
        <w:jc w:val="both"/>
        <w:rPr/>
      </w:pPr>
      <w:r>
        <w:rPr/>
        <w:t xml:space="preserve">When enacting this legislation, Congress recognized the vital interest of the States in protecting consumers of electric and natural gas services within their boundaries.  </w:t>
      </w:r>
      <w:r>
        <w:rPr>
          <w:i/>
        </w:rPr>
        <w:t>See, e.g., Panhandle Eastern Pipe Line Co. v. Public Service Commission of Indiana,</w:t>
      </w:r>
      <w:r>
        <w:rPr/>
        <w:t xml:space="preserve"> 332 U.S. 507, 197-199 (1947).  In addition, as reflected in the Natural Gas Act’s legislative history, Congress saw no good purpose “for the imposition of Federal regulation in addition to that provided under State law where only one State is affected.”  </w:t>
      </w:r>
      <w:r>
        <w:rPr>
          <w:i/>
        </w:rPr>
        <w:t>See</w:t>
      </w:r>
      <w:r>
        <w:rPr/>
        <w:t xml:space="preserve"> S. Rep. No. 817, 83</w:t>
      </w:r>
      <w:r>
        <w:rPr>
          <w:vertAlign w:val="superscript"/>
        </w:rPr>
        <w:t>rd</w:t>
      </w:r>
      <w:r>
        <w:rPr/>
        <w:t xml:space="preserve"> Cong., 2</w:t>
      </w:r>
      <w:r>
        <w:rPr>
          <w:vertAlign w:val="superscript"/>
        </w:rPr>
        <w:t>nd</w:t>
      </w:r>
      <w:r>
        <w:rPr/>
        <w:t xml:space="preserve"> Sess. 2102 (1954).  Recognizing the “futility of duplication” in such regulatory authority, Congress expressly reserved for the States control over the provision of utility distribution services within their borders.  </w:t>
      </w:r>
      <w:r>
        <w:rPr>
          <w:i/>
        </w:rPr>
        <w:t>Id.</w:t>
      </w:r>
      <w:r>
        <w:rPr/>
        <w:t xml:space="preserve">  In fact, “the regulation of utilities is one of the most important of the functions traditionally associated with the police power of the States.”  </w:t>
      </w:r>
      <w:r>
        <w:rPr>
          <w:i/>
        </w:rPr>
        <w:t>Arkansas Electric Cooperative Corporation v. Arkansas Public Service Commission,</w:t>
      </w:r>
      <w:r>
        <w:rPr/>
        <w:t xml:space="preserve"> 461 U.S. 375, 377 (1983).</w:t>
      </w:r>
    </w:p>
    <w:p>
      <w:pPr>
        <w:pStyle w:val="bodytext1"/>
        <w:keepNext w:val="true"/>
        <w:ind w:hanging="720" w:start="2160" w:end="0"/>
        <w:jc w:val="both"/>
        <w:rPr/>
      </w:pPr>
      <w:r>
        <w:rPr/>
        <w:t>B.</w:t>
        <w:tab/>
        <w:t xml:space="preserve">Under Maryland Law, BGE Alone Is Currently Authorized To Operate As </w:t>
      </w:r>
      <w:r>
        <w:rPr>
          <w:u w:val="single"/>
        </w:rPr>
        <w:t>An Electric Or Gas Company In The Fort Meade Area.</w:t>
        <w:tab/>
        <w:tab/>
        <w:tab/>
      </w:r>
      <w:r>
        <w:fldChar w:fldCharType="begin"/>
      </w:r>
      <w:r>
        <w:rPr/>
        <w:instrText xml:space="preserve"> TC "B.</w:instrText>
        <w:tab/>
        <w:instrText xml:space="preserve">Under Maryland Law, BGE Alone Is Currently Authorized To Operate As An Electric Or Gas Company In The Fort Meade Area.</w:instrText>
        <w:tab/>
        <w:instrText xml:space="preserve"/>
        <w:tab/>
        <w:instrText xml:space="preserve"/>
        <w:tab/>
        <w:instrText xml:space="preserve">" \l 3 </w:instrText>
      </w:r>
      <w:r>
        <w:rPr/>
        <w:fldChar w:fldCharType="separate"/>
      </w:r>
      <w:r>
        <w:rPr/>
      </w:r>
      <w:r>
        <w:rPr/>
        <w:fldChar w:fldCharType="end"/>
      </w:r>
    </w:p>
    <w:p>
      <w:pPr>
        <w:pStyle w:val="bodytext1"/>
        <w:keepNext w:val="true"/>
        <w:spacing w:lineRule="auto" w:line="480"/>
        <w:jc w:val="both"/>
        <w:rPr/>
      </w:pPr>
      <w:r>
        <w:rPr/>
        <w:t xml:space="preserve">Pursuant to the Maryland Code, an “electric company” is defined as an entity that “physically transmits or distributes electricity in the State to a retail electric customer.”  Maryland Code, Public Utility Companies Article, at § 1-101(h) (1999).  The sale of electricity is not a prerequisite to be deemed an “electric company,” as any company that owns an electric plant and transmits or distributes electricity is within the literal definition as interpreted by the Maryland courts.  </w:t>
      </w:r>
      <w:r>
        <w:rPr>
          <w:i/>
        </w:rPr>
        <w:t>See Public Service Commission of Maryland v. Howard Research and Development Corporation,</w:t>
      </w:r>
      <w:r>
        <w:rPr/>
        <w:t xml:space="preserve"> 314 A.2d 682, 688 (C.A. Md. 1974) (interpreting previous definition of “electrical company”).  An “electric plant” is defined as “the material, equipment, and property owned by an electric company and used or to be used for or in connection with electric service.”  Maryland Code, Public Utility Companies Article, at § 1-101(i) (1999).  As confirmed by the recent PSC Opinion, the company that owns, operates and maintains the Fort Meade electric distribution system after award of the Consolidated Utility Privatization contract will constitute an “electric company” under Maryland law.  </w:t>
      </w:r>
      <w:r>
        <w:rPr>
          <w:i/>
        </w:rPr>
        <w:t>See</w:t>
      </w:r>
      <w:r>
        <w:rPr/>
        <w:t xml:space="preserve"> Complaint, ¶ 33.</w:t>
      </w:r>
    </w:p>
    <w:p>
      <w:pPr>
        <w:pStyle w:val="bodytext1"/>
        <w:spacing w:lineRule="auto" w:line="480"/>
        <w:jc w:val="both"/>
        <w:rPr/>
      </w:pPr>
      <w:r>
        <w:rPr/>
        <w:t xml:space="preserve">In order to operate as an “electric company” in Maryland, a company first must receive an electric franchise and right to operate from the State legislature.  </w:t>
      </w:r>
      <w:r>
        <w:rPr>
          <w:i/>
        </w:rPr>
        <w:t>See Charles County Sanitation District, Inc. v. Charles Utilities, Inc.,</w:t>
      </w:r>
      <w:r>
        <w:rPr/>
        <w:t xml:space="preserve"> 298 A.2d 419, 423 (C.A. Md. 1973) (power to grant public service franchise is legislative function).  </w:t>
      </w:r>
      <w:r>
        <w:rPr>
          <w:i/>
        </w:rPr>
        <w:t>See also</w:t>
      </w:r>
      <w:r>
        <w:rPr/>
        <w:t xml:space="preserve"> Maryland Code, Public Utility Companies Article, at § 1-101(v) (1999) (definition of “public service company” includes “electric company”).  Under Maryland law, the State legislature has delegated to the PSC the authority to regulate the activities of every public service company, including an electric company.  </w:t>
      </w:r>
      <w:r>
        <w:rPr>
          <w:i/>
        </w:rPr>
        <w:t>Id.,</w:t>
      </w:r>
      <w:r>
        <w:rPr/>
        <w:t xml:space="preserve"> §§ 2-101 and 2-112 to 2-122.  </w:t>
      </w:r>
      <w:r>
        <w:rPr>
          <w:i/>
        </w:rPr>
        <w:t>See also Howard County v. Potomac Electric Power Company,</w:t>
      </w:r>
      <w:r>
        <w:rPr/>
        <w:t xml:space="preserve"> 573 A.2d 821, 825 (C.A. Md. 1990).  The PSC is an independent regulatory body, whose decisions are subject to judicial appeal.  </w:t>
      </w:r>
      <w:r>
        <w:rPr>
          <w:i/>
        </w:rPr>
        <w:t>See</w:t>
      </w:r>
      <w:r>
        <w:rPr/>
        <w:t xml:space="preserve"> Maryland Code, Public Utility Companies Article, at §§ 2-101(b) and 3-201</w:t>
      </w:r>
      <w:r>
        <w:rPr>
          <w:i/>
        </w:rPr>
        <w:t xml:space="preserve"> et seq.</w:t>
      </w:r>
      <w:r>
        <w:rPr/>
        <w:t xml:space="preserve"> (1999).  Before commencing operation, an electric company must obtain authority to exercise its franchise from the PSC.  </w:t>
      </w:r>
      <w:r>
        <w:rPr>
          <w:i/>
        </w:rPr>
        <w:t>Id.,</w:t>
      </w:r>
      <w:r>
        <w:rPr/>
        <w:t xml:space="preserve"> at § 5-201(a).  In addition, an electric company must obtain the consent of the appropriate local authorities to exercise the franchise before applying for PSC authority.  </w:t>
      </w:r>
      <w:r>
        <w:rPr>
          <w:i/>
        </w:rPr>
        <w:t>Id.,</w:t>
      </w:r>
      <w:r>
        <w:rPr/>
        <w:t xml:space="preserve"> at § 5-201(b)(2).  An electric company also must obtain the consent of the county or other municipality before laying or constructing power lines in its service area.  </w:t>
      </w:r>
      <w:r>
        <w:rPr>
          <w:i/>
        </w:rPr>
        <w:t>Id.,</w:t>
      </w:r>
      <w:r>
        <w:rPr/>
        <w:t xml:space="preserve"> at § 7-103(b)(1).  Finally, an electric company may not discontinue or abandon service under a franchise without PSC authorization.  </w:t>
      </w:r>
      <w:r>
        <w:rPr>
          <w:i/>
        </w:rPr>
        <w:t>Id.,</w:t>
      </w:r>
      <w:r>
        <w:rPr/>
        <w:t xml:space="preserve"> at § 5-103(a)(2).</w:t>
      </w:r>
    </w:p>
    <w:p>
      <w:pPr>
        <w:pStyle w:val="BodyText"/>
        <w:spacing w:lineRule="auto" w:line="480"/>
        <w:jc w:val="both"/>
        <w:rPr/>
      </w:pPr>
      <w:r>
        <w:rPr/>
        <w:t xml:space="preserve">Similar legal requirements and restrictions apply to the transmission, sale and distribution of natural gas in Maryland.  </w:t>
      </w:r>
      <w:r>
        <w:rPr>
          <w:i/>
        </w:rPr>
        <w:t>Id.,</w:t>
      </w:r>
      <w:r>
        <w:rPr/>
        <w:t xml:space="preserve"> at §§ 1-101(k) (definition of “gas company”); 1-101(m) (definition of “gas plant”); and 1-101(v) (definition of “public service company” includes “gas company”).  In this regard, the PSC also regulates the activities of gas companies in Maryland.  </w:t>
      </w:r>
      <w:r>
        <w:rPr>
          <w:i/>
        </w:rPr>
        <w:t>Id.,</w:t>
      </w:r>
      <w:r>
        <w:rPr/>
        <w:t xml:space="preserve"> at §§ 2-101 and 2-112 to 2-122.  </w:t>
      </w:r>
      <w:r>
        <w:rPr>
          <w:i/>
        </w:rPr>
        <w:t>See also Howard County v. Potomac Electric Power Company,</w:t>
      </w:r>
      <w:r>
        <w:rPr/>
        <w:t xml:space="preserve"> 573 A.2d at 825.  Accordingly, a gas company must obtain PSC approval to exercise a gas franchise.  Gas franchises are issued at the discretion of city and county governments.  </w:t>
      </w:r>
      <w:r>
        <w:rPr>
          <w:i/>
        </w:rPr>
        <w:t>See</w:t>
      </w:r>
      <w:r>
        <w:rPr/>
        <w:t xml:space="preserve"> Maryland Code, Public Utility Companies Article, at § 5-201 (1999).  Similarly, a gas company must obtain the consent of the county or other municipality before laying gas pipes in its service area.  </w:t>
      </w:r>
      <w:r>
        <w:rPr>
          <w:i/>
        </w:rPr>
        <w:t>Id.,</w:t>
      </w:r>
      <w:r>
        <w:rPr/>
        <w:t xml:space="preserve"> at § 7-102(b)(1).  Finally, a gas company may not discontinue or abandon service under a franchise without PSC authorization.  </w:t>
      </w:r>
      <w:r>
        <w:rPr>
          <w:i/>
        </w:rPr>
        <w:t>Id.,</w:t>
      </w:r>
      <w:r>
        <w:rPr/>
        <w:t xml:space="preserve"> at § 5-103(a)(2).</w:t>
      </w:r>
    </w:p>
    <w:p>
      <w:pPr>
        <w:pStyle w:val="bodytext1"/>
        <w:spacing w:lineRule="auto" w:line="480"/>
        <w:jc w:val="both"/>
        <w:rPr/>
      </w:pPr>
      <w:r>
        <w:rPr/>
        <w:t xml:space="preserve">Currently, BGE is the </w:t>
      </w:r>
      <w:r>
        <w:rPr>
          <w:u w:val="single"/>
        </w:rPr>
        <w:t>only</w:t>
      </w:r>
      <w:r>
        <w:rPr/>
        <w:t xml:space="preserve"> entity authorized by Maryland law and the PSC to own, operate and maintain electric and natural gas distribution systems in the Fort Meade area.  </w:t>
      </w:r>
      <w:r>
        <w:rPr>
          <w:i/>
        </w:rPr>
        <w:t>See</w:t>
      </w:r>
      <w:r>
        <w:rPr/>
        <w:t xml:space="preserve"> Complaint, ¶¶ 8-11.  Indeed, BGE is prohibited under Maryland law from discontinuing utility service in its franchise areas, including Fort Meade, without PSC approval.  Before performing the Consolidated Utility Privatization requirements for electric and natural gas distribution services at Fort Meade, any other entity first must:  (i) obtain an electric franchise and right to operate from the State legislature; (ii) obtain a revision from the PSC of its order designating BGE as the only party responsible for electric service in the Fort Meade area; (iii) obtain a gas franchise from Anne Arundel County; and (iv) receive PSC authority to exercise the gas franchise in the Fort Meade area.  In addition, before performing any related construction work, the entity first must obtain the consent of Anne Arundel County.</w:t>
      </w:r>
    </w:p>
    <w:p>
      <w:pPr>
        <w:pStyle w:val="BodyText"/>
        <w:ind w:hanging="720" w:start="2160" w:end="0"/>
        <w:jc w:val="both"/>
        <w:rPr/>
      </w:pPr>
      <w:r>
        <w:rPr/>
        <w:t>C.</w:t>
        <w:tab/>
        <w:t xml:space="preserve">The Army’s Privatization Solicitation Is Inconsistent With Maryland Law, And Thereby Violates Federal Statutes, Regulations and Directives, As </w:t>
      </w:r>
      <w:r>
        <w:rPr>
          <w:u w:val="single"/>
        </w:rPr>
        <w:t>Well As The United States Constitution.</w:t>
        <w:tab/>
        <w:tab/>
        <w:tab/>
        <w:tab/>
        <w:tab/>
      </w:r>
      <w:r>
        <w:fldChar w:fldCharType="begin"/>
      </w:r>
      <w:r>
        <w:rPr/>
        <w:instrText xml:space="preserve"> TC "C.</w:instrText>
        <w:tab/>
        <w:instrText xml:space="preserve">The Army’s Privatization Solicitation Is Inconsistent With Maryland Law, And Thereby Violates Federal Statutes, Regulations and Directives, As Well As The United States Constitution.</w:instrText>
        <w:tab/>
        <w:instrText xml:space="preserve"/>
        <w:tab/>
        <w:instrText xml:space="preserve"/>
        <w:tab/>
        <w:instrText xml:space="preserve"/>
        <w:tab/>
        <w:instrText xml:space="preserve"/>
        <w:tab/>
        <w:instrText xml:space="preserve">" \l 3 </w:instrText>
      </w:r>
      <w:r>
        <w:rPr/>
        <w:fldChar w:fldCharType="separate"/>
      </w:r>
      <w:r>
        <w:rPr/>
      </w:r>
      <w:r>
        <w:rPr/>
        <w:fldChar w:fldCharType="end"/>
      </w:r>
    </w:p>
    <w:p>
      <w:pPr>
        <w:pStyle w:val="BodyText"/>
        <w:spacing w:lineRule="auto" w:line="480"/>
        <w:jc w:val="both"/>
        <w:rPr/>
      </w:pPr>
      <w:r>
        <w:rPr/>
        <w:t>As discussed below, the National Defense Authorization Act of 1998, Pub. L. 105-85 § 2688, 111 Stat. 1992-93 (Nov. 18, 1997), 10 U.S.C. § 2688 (“Section 2688”), and its related internal DOD directive, require the military services to adhere to State law when privatizing utility distribution systems.  Similarly, the Department of Defense Appropriations Act of 1988, Pub. L. 100-202 § 8093 (“Section 8093”), and its implementing federal regulations, prohibit the use of appropriated funds by the Federal Government to purchase electric service in a manner inconsistent with State law.  The Privatization Solicitation, however, does not require the contract awardee -- who will own, operate and maintain the Fort Meade utility distribution systems -- to comply with Maryland law and the regulations and rulings of the Maryland PSC.</w:t>
      </w:r>
    </w:p>
    <w:p>
      <w:pPr>
        <w:pStyle w:val="BodyText"/>
        <w:spacing w:lineRule="auto" w:line="480"/>
        <w:jc w:val="both"/>
        <w:rPr/>
      </w:pPr>
      <w:r>
        <w:rPr/>
        <w:t>By failing to follow Maryland law otherwise applicable to entities that provide utility service in Maryland, the Army is violating federal statutes, regulations and directives governing the privatization of DOD utility distribution systems and the procurement of utility services.  In addition, the Army’s expenditure of public funds in a manner inconsistent with the express language of Section 8093 violates the Appropriations Clause of the United States Constitution (Article I, Section 9, Clause 7) and 31 U.S.C. § 1301(a), which prohibit the expenditure of public funds in a manner contrary to the intent of Congress.</w:t>
      </w:r>
    </w:p>
    <w:p>
      <w:pPr>
        <w:pStyle w:val="BodyText"/>
        <w:ind w:hanging="720" w:start="2880" w:end="0"/>
        <w:jc w:val="both"/>
        <w:rPr>
          <w:u w:val="single"/>
        </w:rPr>
      </w:pPr>
      <w:r>
        <w:rPr/>
        <w:t>1.</w:t>
        <w:tab/>
      </w:r>
      <w:r>
        <w:rPr>
          <w:i/>
        </w:rPr>
        <w:t xml:space="preserve">While Section 2688 And DRID No. 49 May Require Competitive Procedures For Utility Privatization, Any Such Competition </w:t>
      </w:r>
      <w:r>
        <w:rPr>
          <w:i/>
          <w:u w:val="single"/>
        </w:rPr>
        <w:t>Requires Compliance With Applicable State Law.</w:t>
        <w:tab/>
        <w:tab/>
        <w:tab/>
      </w:r>
      <w:r>
        <w:fldChar w:fldCharType="begin"/>
      </w:r>
      <w:r>
        <w:rPr/>
        <w:instrText xml:space="preserve"> TC "1.</w:instrText>
        <w:tab/>
        <w:instrText xml:space="preserve">While Section 2688 And DRID No. 49 May Require Competitive Procedures For Utility Privatization, Any Such Competition Requires Compliance With Applicable State Law.</w:instrText>
        <w:tab/>
        <w:instrText xml:space="preserve"/>
        <w:tab/>
        <w:instrText xml:space="preserve"/>
        <w:tab/>
        <w:instrText xml:space="preserve">" \l 4 </w:instrText>
      </w:r>
      <w:r>
        <w:rPr/>
        <w:fldChar w:fldCharType="separate"/>
      </w:r>
      <w:r>
        <w:rPr/>
      </w:r>
      <w:r>
        <w:rPr/>
        <w:fldChar w:fldCharType="end"/>
      </w:r>
    </w:p>
    <w:p>
      <w:pPr>
        <w:pStyle w:val="BodyText"/>
        <w:spacing w:lineRule="auto" w:line="480"/>
        <w:jc w:val="both"/>
        <w:rPr/>
      </w:pPr>
      <w:r>
        <w:rPr/>
        <w:t xml:space="preserve">The National Defense Authorization Act of 1998 enables the military services to privatize their utility distribution systems.  </w:t>
      </w:r>
      <w:r>
        <w:rPr>
          <w:i/>
        </w:rPr>
        <w:t>See</w:t>
      </w:r>
      <w:r>
        <w:rPr/>
        <w:t xml:space="preserve"> Pub. L. 105-85 § 2688, 111 Stat. 1992-93 (Nov. 18, 1997).  This statutory authority, which is codified at 10 U.S.C. § 2688 (“Section 2688”), authorizes DOD to convey utility systems to utility companies or other entities.  </w:t>
      </w:r>
      <w:r>
        <w:rPr>
          <w:i/>
        </w:rPr>
        <w:t>See</w:t>
      </w:r>
      <w:r>
        <w:rPr/>
        <w:t xml:space="preserve"> 10 U.S.C. § 2688(a). This recent federal legislation, and its implementing regulations, make Section 8093’s requirement for consistency with State law expressly applicable to solicitations for privatization of DOD electric distribution systems.</w:t>
      </w:r>
    </w:p>
    <w:p>
      <w:pPr>
        <w:pStyle w:val="BodyText"/>
        <w:jc w:val="both"/>
        <w:rPr/>
      </w:pPr>
      <w:r>
        <w:rPr/>
        <w:t>Specifically, Section 2688 states in pertinent part as follows:</w:t>
      </w:r>
    </w:p>
    <w:p>
      <w:pPr>
        <w:pStyle w:val="BodyText"/>
        <w:ind w:start="1440" w:end="1440"/>
        <w:jc w:val="both"/>
        <w:rPr/>
      </w:pPr>
      <w:r>
        <w:rPr/>
        <w:t>(a)</w:t>
        <w:tab/>
      </w:r>
      <w:r>
        <w:rPr>
          <w:b/>
        </w:rPr>
        <w:t>Conveyance authority.</w:t>
      </w:r>
      <w:r>
        <w:rPr/>
        <w:t xml:space="preserve"> -- </w:t>
      </w:r>
      <w:r>
        <w:rPr>
          <w:u w:val="single"/>
        </w:rPr>
        <w:t>The Secretary of a military department may convey a utility system, or part of a utility system, under the jurisdiction of the Secretary to a municipal, private, regional, district, or cooperative utility company or other entity.</w:t>
      </w:r>
      <w:r>
        <w:rPr/>
        <w:t xml:space="preserve">  The conveyance may consist of all right, title, and interest of the United States in the utility system or such lesser estate as the Secretary considers appropriate to serve the interests of the United States.</w:t>
      </w:r>
    </w:p>
    <w:p>
      <w:pPr>
        <w:pStyle w:val="BodyText"/>
        <w:ind w:start="1440" w:end="1440"/>
        <w:jc w:val="both"/>
        <w:rPr/>
      </w:pPr>
      <w:r>
        <w:rPr/>
        <w:t>(b)</w:t>
        <w:tab/>
      </w:r>
      <w:r>
        <w:rPr>
          <w:b/>
        </w:rPr>
        <w:t>Selection of conveyee.</w:t>
      </w:r>
      <w:r>
        <w:rPr/>
        <w:t xml:space="preserve"> -- If more than one utility or entity referred to in subsection (a) notifies the Secretary concerned of an interest in a conveyance under such subsection, the Secretary shall carry out the conveyance through the use of competitive procedures.</w:t>
      </w:r>
    </w:p>
    <w:p>
      <w:pPr>
        <w:pStyle w:val="BodyText"/>
        <w:ind w:start="1440" w:end="1440"/>
        <w:jc w:val="both"/>
        <w:rPr/>
      </w:pPr>
      <w:r>
        <w:rPr/>
        <w:t>(c)</w:t>
        <w:tab/>
      </w:r>
      <w:r>
        <w:rPr>
          <w:b/>
        </w:rPr>
        <w:t>Consideration. -- (1)</w:t>
      </w:r>
      <w:r>
        <w:rPr/>
        <w:tab/>
        <w:t xml:space="preserve">The Secretary concerned shall require as consideration for a conveyance under subsection (a) an amount equal to the fair market value (as determined by the Secretary) of the right, title, or interest of the United States conveyed.  </w:t>
      </w:r>
      <w:r>
        <w:rPr>
          <w:u w:val="single"/>
        </w:rPr>
        <w:t>The consideration may take the form of</w:t>
      </w:r>
      <w:r>
        <w:rPr/>
        <w:t xml:space="preserve"> –</w:t>
      </w:r>
    </w:p>
    <w:p>
      <w:pPr>
        <w:pStyle w:val="BodyText"/>
        <w:ind w:start="1440" w:end="1440"/>
        <w:jc w:val="both"/>
        <w:rPr/>
      </w:pPr>
      <w:r>
        <w:rPr/>
        <w:tab/>
        <w:tab/>
      </w:r>
      <w:r>
        <w:rPr>
          <w:b/>
        </w:rPr>
        <w:t>(A)</w:t>
      </w:r>
      <w:r>
        <w:rPr/>
        <w:tab/>
        <w:t>a lump sum payment; or</w:t>
      </w:r>
    </w:p>
    <w:p>
      <w:pPr>
        <w:pStyle w:val="BodyText"/>
        <w:ind w:hanging="720" w:start="2880" w:end="1440"/>
        <w:jc w:val="both"/>
        <w:rPr/>
      </w:pPr>
      <w:r>
        <w:rPr/>
        <w:tab/>
        <w:tab/>
      </w:r>
      <w:r>
        <w:rPr>
          <w:b/>
        </w:rPr>
        <w:t>(B)</w:t>
      </w:r>
      <w:r>
        <w:rPr/>
        <w:tab/>
      </w:r>
      <w:r>
        <w:rPr>
          <w:u w:val="single"/>
        </w:rPr>
        <w:t>a reduction in charges for utility services provided by the utility or entity concerned to the military installation at which the utility system is located.</w:t>
      </w:r>
    </w:p>
    <w:p>
      <w:pPr>
        <w:pStyle w:val="BodyText"/>
        <w:ind w:hanging="720" w:start="2880" w:end="1440"/>
        <w:jc w:val="both"/>
        <w:rPr/>
      </w:pPr>
      <w:r>
        <w:rPr/>
        <w:tab/>
      </w:r>
      <w:r>
        <w:rPr>
          <w:b/>
        </w:rPr>
        <w:t>(2)</w:t>
      </w:r>
      <w:r>
        <w:rPr/>
        <w:tab/>
      </w:r>
      <w:r>
        <w:rPr>
          <w:u w:val="single"/>
        </w:rPr>
        <w:t>If the utility services proposed to be provided as consideration under paragraph (1) are subject to regulation by a Federal or State agency, any reduction in the rate charged for the utility services shall be subject to establishment or approval by that agency.</w:t>
      </w:r>
    </w:p>
    <w:p>
      <w:pPr>
        <w:pStyle w:val="BodyText"/>
        <w:ind w:start="2880" w:end="1440"/>
        <w:jc w:val="both"/>
        <w:rPr/>
      </w:pPr>
      <w:r>
        <w:rPr/>
        <w:t>*</w:t>
        <w:tab/>
        <w:tab/>
        <w:t>*</w:t>
        <w:tab/>
        <w:tab/>
        <w:t>*</w:t>
      </w:r>
    </w:p>
    <w:p>
      <w:pPr>
        <w:pStyle w:val="BodyText"/>
        <w:ind w:hanging="0" w:end="0"/>
        <w:jc w:val="both"/>
        <w:rPr/>
      </w:pPr>
      <w:r>
        <w:rPr>
          <w:i/>
        </w:rPr>
        <w:t>Id.</w:t>
      </w:r>
      <w:r>
        <w:rPr/>
        <w:t xml:space="preserve"> (emphasis added).</w:t>
      </w:r>
    </w:p>
    <w:p>
      <w:pPr>
        <w:pStyle w:val="BodyText"/>
        <w:spacing w:lineRule="auto" w:line="480"/>
        <w:jc w:val="both"/>
        <w:rPr/>
      </w:pPr>
      <w:r>
        <w:rPr/>
        <w:t xml:space="preserve">The applicability of State law to utility privatizations </w:t>
      </w:r>
      <w:bookmarkStart w:id="0" w:name="zfaxstart"/>
      <w:bookmarkEnd w:id="0"/>
      <w:r>
        <w:rPr/>
        <w:t xml:space="preserve">is evident in the language of Section 2688.  Specifically, Section 2688 permits the Government to accept rate reductions for utility services as consideration for the conveyance of the utility system, and </w:t>
      </w:r>
      <w:r>
        <w:rPr>
          <w:u w:val="single"/>
        </w:rPr>
        <w:t>requires</w:t>
      </w:r>
      <w:r>
        <w:rPr/>
        <w:t xml:space="preserve"> that any such rate reductions comply with applicable State and federal regulations.</w:t>
      </w:r>
      <w:r>
        <w:rPr>
          <w:rStyle w:val="FootnoteCharacters"/>
          <w:rStyle w:val="FootnoteReference"/>
        </w:rPr>
        <w:footnoteReference w:id="2"/>
      </w:r>
      <w:r>
        <w:rPr/>
        <w:t xml:space="preserve">  </w:t>
      </w:r>
      <w:r>
        <w:rPr>
          <w:i/>
        </w:rPr>
        <w:t>See</w:t>
      </w:r>
      <w:r>
        <w:rPr/>
        <w:t xml:space="preserve"> 10 U.C.S. § 2688(b) and (c).  In addition, Section 2688 does </w:t>
      </w:r>
      <w:r>
        <w:rPr>
          <w:u w:val="single"/>
        </w:rPr>
        <w:t>not</w:t>
      </w:r>
      <w:r>
        <w:rPr/>
        <w:t xml:space="preserve"> contain an exemption from the Section 8093 requirement that the military services purchase electric service in a manner consistent with State law.  </w:t>
      </w:r>
      <w:r>
        <w:rPr>
          <w:i/>
        </w:rPr>
        <w:t>See</w:t>
      </w:r>
      <w:r>
        <w:rPr/>
        <w:t xml:space="preserve"> Section I.C.2. below.  Similarly, it does not expressly exempt the military services from compliance with State law governing other utilities, including natural gas.  Thus, while Section 2688 requires utility privatization using competitive procedures when more than one entity expresses an interest to the contracting agency, any competition involving electric or natural gas distribution systems nonetheless must comply with Section 8093 and applicable State law.</w:t>
      </w:r>
    </w:p>
    <w:p>
      <w:pPr>
        <w:pStyle w:val="BodyText"/>
        <w:spacing w:lineRule="auto" w:line="480"/>
        <w:jc w:val="both"/>
        <w:rPr/>
      </w:pPr>
      <w:r>
        <w:rPr/>
        <w:t>The internal Department of Defense directive governing privatization of military utility distribution systems also expressly requires agency compliance with State laws regulating utilities.  Department of Defense Reform Initiative Directive (“DRID”) No. 49, “Privatizing Utility Systems,” encourages utility privatization under competitive conditions, but specifically states that:  (a) privatization must comply with State and local laws; and (b) the acquisition of utility services, “even when a part of the privatization,” must comply with Federal Acquisition Regulation (“FAR”) Part 41 (</w:t>
      </w:r>
      <w:r>
        <w:rPr>
          <w:i/>
        </w:rPr>
        <w:t>i.e.,</w:t>
      </w:r>
      <w:r>
        <w:rPr/>
        <w:t xml:space="preserve"> Section 8093’s implementing regulation).</w:t>
      </w:r>
      <w:r>
        <w:rPr>
          <w:rStyle w:val="FootnoteCharacters"/>
          <w:rStyle w:val="FootnoteReference"/>
        </w:rPr>
        <w:footnoteReference w:id="3"/>
      </w:r>
    </w:p>
    <w:p>
      <w:pPr>
        <w:pStyle w:val="BodyText"/>
        <w:jc w:val="both"/>
        <w:rPr/>
      </w:pPr>
      <w:r>
        <w:rPr/>
        <w:t>Specifically, DRID No. 49 states in pertinent part:</w:t>
      </w:r>
    </w:p>
    <w:p>
      <w:pPr>
        <w:pStyle w:val="BodyText"/>
        <w:ind w:hanging="0" w:start="1440" w:end="1440"/>
        <w:jc w:val="both"/>
        <w:rPr/>
      </w:pPr>
      <w:r>
        <w:rPr/>
        <w:t>B.</w:t>
        <w:tab/>
        <w:t xml:space="preserve">The Military Departments are authorized to convey a utility system to any municipal, private, regional, district or cooperative utility company or to any other entity under this authority </w:t>
      </w:r>
      <w:r>
        <w:rPr>
          <w:u w:val="single"/>
        </w:rPr>
        <w:t>in accordance with applicable state and local laws.</w:t>
      </w:r>
      <w:r>
        <w:rPr/>
        <w:t xml:space="preserve">  In the case of overseas utility systems, privatization will comply with appropriate agreements and applicable host nation laws.</w:t>
      </w:r>
    </w:p>
    <w:p>
      <w:pPr>
        <w:pStyle w:val="BodyText"/>
        <w:ind w:start="1440" w:end="1440"/>
        <w:jc w:val="center"/>
        <w:rPr/>
      </w:pPr>
      <w:r>
        <w:rPr/>
        <w:t>*</w:t>
        <w:tab/>
        <w:tab/>
        <w:t>*</w:t>
        <w:tab/>
        <w:tab/>
        <w:t>*</w:t>
      </w:r>
    </w:p>
    <w:p>
      <w:pPr>
        <w:pStyle w:val="BodyText"/>
        <w:ind w:hanging="0" w:start="1440" w:end="1440"/>
        <w:jc w:val="both"/>
        <w:rPr/>
      </w:pPr>
      <w:r>
        <w:rPr/>
        <w:t>D.</w:t>
        <w:tab/>
        <w:t xml:space="preserve">While 10 U.S.C. 2688 governs the privatization of the utility system, </w:t>
      </w:r>
      <w:r>
        <w:rPr>
          <w:u w:val="single"/>
        </w:rPr>
        <w:t>the acquisition of utility services, even when a part of the privatization, is governed by 40 U.S.C. 481 and FAR Part 41.</w:t>
      </w:r>
      <w:r>
        <w:rPr>
          <w:rStyle w:val="FootnoteCharacters"/>
        </w:rPr>
        <w:t xml:space="preserve"> </w:t>
      </w:r>
      <w:r>
        <w:rPr>
          <w:rStyle w:val="FootnoteCharacters"/>
          <w:rStyle w:val="FootnoteReference"/>
        </w:rPr>
        <w:footnoteReference w:id="4"/>
      </w:r>
    </w:p>
    <w:p>
      <w:pPr>
        <w:pStyle w:val="BodyText"/>
        <w:ind w:hanging="0" w:end="0"/>
        <w:jc w:val="both"/>
        <w:rPr/>
      </w:pPr>
      <w:r>
        <w:rPr/>
        <w:t>DRID No. 49 (Dec. 23, 1998), Attachment, at paragraph II (emphasis added).</w:t>
      </w:r>
    </w:p>
    <w:p>
      <w:pPr>
        <w:pStyle w:val="BodyText"/>
        <w:spacing w:lineRule="auto" w:line="480"/>
        <w:jc w:val="both"/>
        <w:rPr/>
      </w:pPr>
      <w:r>
        <w:rPr/>
        <w:t xml:space="preserve">Consistent with its recognition of State regulatory authority, DRID No. 49 requires DOD to use competitive procedures for privatization when appropriate, but also to consider State law and regulatory policy “when determining the form of competition for franchised and regulated utilities.”  Moreover, it allows for a sole-source negotiation and conveyance, </w:t>
      </w:r>
      <w:r>
        <w:rPr>
          <w:u w:val="single"/>
        </w:rPr>
        <w:t>if</w:t>
      </w:r>
      <w:r>
        <w:rPr/>
        <w:t xml:space="preserve"> State law and regulatory policy specifically prohibit competition.</w:t>
      </w:r>
    </w:p>
    <w:p>
      <w:pPr>
        <w:pStyle w:val="BodyText"/>
        <w:jc w:val="both"/>
        <w:rPr/>
      </w:pPr>
      <w:r>
        <w:rPr/>
        <w:t>In this regard, DRID No. 49 states as follows:</w:t>
      </w:r>
    </w:p>
    <w:p>
      <w:pPr>
        <w:pStyle w:val="BodyText"/>
        <w:ind w:start="1440" w:end="1440"/>
        <w:jc w:val="both"/>
        <w:rPr/>
      </w:pPr>
      <w:r>
        <w:rPr/>
        <w:t>Competitive procedures will be used in conducting the privatization of utility systems.</w:t>
      </w:r>
    </w:p>
    <w:p>
      <w:pPr>
        <w:pStyle w:val="BodyText"/>
        <w:ind w:start="1440" w:end="1440"/>
        <w:jc w:val="center"/>
        <w:rPr/>
      </w:pPr>
      <w:r>
        <w:rPr/>
        <w:t>*</w:t>
        <w:tab/>
        <w:tab/>
        <w:t>*</w:t>
        <w:tab/>
        <w:tab/>
        <w:t>*</w:t>
      </w:r>
    </w:p>
    <w:p>
      <w:pPr>
        <w:pStyle w:val="BodyText"/>
        <w:ind w:start="1440" w:end="1440"/>
        <w:jc w:val="both"/>
        <w:rPr/>
      </w:pPr>
      <w:r>
        <w:rPr/>
        <w:t xml:space="preserve">If the installation resides in an area served by a franchised and regulated utility, that franchise holder shall not be considered the presumptive conveyee, nor shall another responsive utility or entity that expresses interest be excluded from the competition.  </w:t>
      </w:r>
      <w:r>
        <w:rPr>
          <w:u w:val="single"/>
        </w:rPr>
        <w:t>State law and regulatory policy should be considered when determining the form of competition for franchised and regulated utilities.  Where state law and regulatory policy specifically prohibits competition, a sole-source negotiation may be pursued after evaluating response to the synopses.</w:t>
      </w:r>
      <w:r>
        <w:rPr/>
        <w:t xml:space="preserve">  The Military Department, however, may not rely on the assertions of the franchised or regulated utility in this regard.  Rather, it must make an independent legal finding that the franchised or regulated utility is the only entity authorized to own and operate the utility system to be privatized.</w:t>
      </w:r>
    </w:p>
    <w:p>
      <w:pPr>
        <w:pStyle w:val="BodyText"/>
        <w:ind w:hanging="0" w:end="0"/>
        <w:jc w:val="both"/>
        <w:rPr/>
      </w:pPr>
      <w:r>
        <w:rPr>
          <w:i/>
        </w:rPr>
        <w:t>Id.,</w:t>
      </w:r>
      <w:r>
        <w:rPr/>
        <w:t xml:space="preserve"> Attachment, at paragraph IV (emphasis added).</w:t>
      </w:r>
    </w:p>
    <w:p>
      <w:pPr>
        <w:pStyle w:val="BodyText"/>
        <w:spacing w:lineRule="auto" w:line="480"/>
        <w:jc w:val="both"/>
        <w:rPr/>
      </w:pPr>
      <w:r>
        <w:rPr/>
        <w:t>It is evident from DRID No. 49 that DOD understands utility privatizations undertaken by the military services pursuant to Section 2688 -- even within the context of a competitive solicitation -- must comply with State law and regulatory policy, including Section 8093 and its implementing regulations.  Practically speaking, DRID No. 49 confirms that DOD is obligated to convey electric and natural gas distribution systems for privatization only to entities authorized to own, operate and maintain such systems, and to otherwise procure utility services in a manner consistent with State law.</w:t>
      </w:r>
      <w:r>
        <w:rPr>
          <w:rStyle w:val="FootnoteCharacters"/>
          <w:rStyle w:val="FootnoteReference"/>
        </w:rPr>
        <w:footnoteReference w:id="5"/>
      </w:r>
      <w:r>
        <w:rPr/>
        <w:t xml:space="preserve">  With regard to the privatization of Fort Meade’s utility systems, the Army must follow DRID No. 49 and the stated implementation of Section 2688, in accordance with Section 8093 and related federal and DOD regulations.  </w:t>
      </w:r>
      <w:r>
        <w:rPr>
          <w:i/>
        </w:rPr>
        <w:t>See</w:t>
      </w:r>
      <w:r>
        <w:rPr/>
        <w:t xml:space="preserve"> Section I.C.2. below.</w:t>
      </w:r>
    </w:p>
    <w:p>
      <w:pPr>
        <w:pStyle w:val="BodyText"/>
        <w:spacing w:lineRule="auto" w:line="480"/>
        <w:jc w:val="both"/>
        <w:rPr/>
      </w:pPr>
      <w:r>
        <w:rPr/>
        <w:t xml:space="preserve">Finally, the Consolidated Utility Privatization RFP itself demonstrates that the Army understands the procurement to be governed by the same statutes and regulations otherwise applicable to procurements for utility services.  Specifically, the RFP describes the resulting privatization contract as “a Utilities Service Type contract.”  </w:t>
      </w:r>
      <w:r>
        <w:rPr>
          <w:i/>
        </w:rPr>
        <w:t>See</w:t>
      </w:r>
      <w:r>
        <w:rPr/>
        <w:t xml:space="preserve"> Complaint, ¶ 41.</w:t>
      </w:r>
      <w:r>
        <w:rPr>
          <w:rStyle w:val="FootnoteCharacters"/>
          <w:rStyle w:val="FootnoteReference"/>
        </w:rPr>
        <w:footnoteReference w:id="6"/>
      </w:r>
      <w:r>
        <w:rPr/>
        <w:t xml:space="preserve">  It also refers to FAR Part 41, 48 C.F.R. § 41, for the authority to extend the contract on a sole-source basis, after the expiration of the 50-year term.  </w:t>
      </w:r>
      <w:r>
        <w:rPr>
          <w:i/>
        </w:rPr>
        <w:t>Id.,</w:t>
      </w:r>
      <w:r>
        <w:rPr/>
        <w:t xml:space="preserve"> ¶ 44.  Moreover, the privatization RFP requires offerors to comply with State laws and regulations, as well as public service commission codes and standards, regarding utility distribution systems and services.  </w:t>
      </w:r>
      <w:r>
        <w:rPr>
          <w:i/>
        </w:rPr>
        <w:t>Id.,</w:t>
      </w:r>
      <w:r>
        <w:rPr/>
        <w:t xml:space="preserve"> ¶ 45.  As a Solicitation for a utility services type contract, the RFP is governed by Section 8093, as well as other federal statutes, regulations and directives otherwise applicable to utility procurements (</w:t>
      </w:r>
      <w:r>
        <w:rPr>
          <w:i/>
        </w:rPr>
        <w:t>i.e.,</w:t>
      </w:r>
      <w:r>
        <w:rPr/>
        <w:t xml:space="preserve"> 48 C.F.R. § 41; 48 C.F.R. § 241; and DRID No. 49).  </w:t>
      </w:r>
      <w:r>
        <w:rPr>
          <w:i/>
        </w:rPr>
        <w:t>See also</w:t>
      </w:r>
      <w:r>
        <w:rPr/>
        <w:t xml:space="preserve"> Section I.C.2. below.  Therefore, the Army must take corrective action to bring the Solicitation into compliance with these laws and regulations.</w:t>
      </w:r>
    </w:p>
    <w:p>
      <w:pPr>
        <w:pStyle w:val="BodyText"/>
        <w:ind w:hanging="720" w:start="2880" w:end="0"/>
        <w:jc w:val="both"/>
        <w:rPr/>
      </w:pPr>
      <w:r>
        <w:rPr/>
        <w:t>2.</w:t>
        <w:tab/>
      </w:r>
      <w:r>
        <w:rPr>
          <w:i/>
        </w:rPr>
        <w:t xml:space="preserve">Section 8093 And Its Implementing Regulations Expressly Mandate That The Army Comply With State Law And Rulings Of </w:t>
      </w:r>
      <w:r>
        <w:rPr>
          <w:i/>
          <w:u w:val="single"/>
        </w:rPr>
        <w:t>The State Public Service Commission.</w:t>
        <w:tab/>
        <w:tab/>
        <w:tab/>
      </w:r>
      <w:r>
        <w:fldChar w:fldCharType="begin"/>
      </w:r>
      <w:r>
        <w:rPr/>
        <w:instrText xml:space="preserve"> TC "2.</w:instrText>
        <w:tab/>
        <w:instrText xml:space="preserve">Section 8093 And Its Implementing Regulations Expressly Mandate That The Army Comply With State Law And Rulings Of The State Public Service Commission.</w:instrText>
        <w:tab/>
        <w:instrText xml:space="preserve"/>
        <w:tab/>
        <w:instrText xml:space="preserve"/>
        <w:tab/>
        <w:instrText xml:space="preserve">" \l 4 </w:instrText>
      </w:r>
      <w:r>
        <w:rPr/>
        <w:fldChar w:fldCharType="separate"/>
      </w:r>
      <w:r>
        <w:rPr/>
      </w:r>
      <w:r>
        <w:rPr/>
        <w:fldChar w:fldCharType="end"/>
      </w:r>
    </w:p>
    <w:p>
      <w:pPr>
        <w:pStyle w:val="BodyText"/>
        <w:spacing w:lineRule="auto" w:line="480"/>
        <w:jc w:val="both"/>
        <w:rPr/>
      </w:pPr>
      <w:r>
        <w:rPr/>
        <w:t xml:space="preserve">Congress has expressly consented to DOD’s compliance with State law when procuring electricity, including the use of a solicitation for privatization of electric distribution systems at military facilities.  The Department of Defense Appropriations Act of 1988, Pub. L. 100-202 § 8093 (“Section 8093”) prohibits the use of appropriated funds by the Federal Government to purchase electric service in a manner inconsistent with State law.  The statute expressly requires the Federal Government to comply with the rulings of State utility commissions, and electric utility franchise requirements and territories, when procuring electric services.  In this regard, Section 8093 constitutes a statutory exception to the requirement that federal agencies utilize competitive procurement procedures under the Competition in Contracting Act of 1984 (“CICA”), 10 U.S.C. §§ 2301 </w:t>
      </w:r>
      <w:r>
        <w:rPr>
          <w:i/>
        </w:rPr>
        <w:t>et seq.</w:t>
      </w:r>
    </w:p>
    <w:p>
      <w:pPr>
        <w:pStyle w:val="BodyText"/>
        <w:spacing w:lineRule="auto" w:line="480"/>
        <w:jc w:val="both"/>
        <w:rPr/>
      </w:pPr>
      <w:r>
        <w:rPr/>
        <w:t>Specifically, Section 8093 states as follows:</w:t>
      </w:r>
    </w:p>
    <w:p>
      <w:pPr>
        <w:pStyle w:val="BodyText"/>
        <w:ind w:start="1440" w:end="1440"/>
        <w:jc w:val="both"/>
        <w:rPr/>
      </w:pPr>
      <w:r>
        <w:rPr>
          <w:u w:val="single"/>
        </w:rPr>
        <w:t>None of the funds appropriated or made available by this or any other Act with respect to any fiscal year may be used by any Department, agency, or instrumentality of the United States to purchase electricity in a manner inconsistent with State law governing the provision of electric utility service, including State utility commission rulings and electric utility franchises or service territories established pursuant to State statute, State regulation, or State-approved territorial agreements</w:t>
      </w:r>
      <w:r>
        <w:rPr/>
        <w:t xml:space="preserve">:  </w:t>
      </w:r>
      <w:r>
        <w:rPr>
          <w:i/>
        </w:rPr>
        <w:t>Provided,</w:t>
      </w:r>
      <w:r>
        <w:rPr/>
        <w:t xml:space="preserve"> That nothing in this section shall preclude the head of a Federal agency from entering into a contract pursuant to 42 U.S.C. 8287; nor shall it preclude the Secretary of a military department from entering into a contract pursuant to 10 U.S.C. 2394 or from purchasing electricity from any provider when the utility or utilities having applicable State-approved franchise or other service authorizations are found by the Secretary to be unwilling or unable to meet unusual standards for service reliability that are necessary for purposes of national defense.</w:t>
      </w:r>
    </w:p>
    <w:p>
      <w:pPr>
        <w:pStyle w:val="BodyText"/>
        <w:ind w:hanging="0" w:end="0"/>
        <w:jc w:val="both"/>
        <w:rPr/>
      </w:pPr>
      <w:r>
        <w:rPr/>
        <w:t>Pub. L. 100-202 § 8093, 101 Stat. 1329-79 (Dec. 22, 1987) (emphasis added).</w:t>
      </w:r>
    </w:p>
    <w:p>
      <w:pPr>
        <w:pStyle w:val="BodyText"/>
        <w:spacing w:lineRule="auto" w:line="480"/>
        <w:jc w:val="both"/>
        <w:rPr/>
      </w:pPr>
      <w:r>
        <w:rPr/>
        <w:t xml:space="preserve">When Congress enacted Section 8093 in 1988, electric commodity and electric distribution services were provided by regulated utilities as a bundled unit.  Only recently has State de-regulation of the utility industry allowed for the competitive sale of the electric commodity separate from distribution service.  Section 8093 does not distinguish between the electric commodity and its associated distribution service.  For this reason, it is clear that Congress intended Section 8093 to apply to </w:t>
      </w:r>
      <w:r>
        <w:rPr>
          <w:u w:val="single"/>
        </w:rPr>
        <w:t>both</w:t>
      </w:r>
      <w:r>
        <w:rPr/>
        <w:t xml:space="preserve"> the electric commodity and electric distribution service.  Effective July 1, 2000, Maryland customers obtained the right to choose among competitive suppliers of the electric commodity.  </w:t>
      </w:r>
      <w:r>
        <w:rPr>
          <w:i/>
        </w:rPr>
        <w:t>See</w:t>
      </w:r>
      <w:r>
        <w:rPr/>
        <w:t xml:space="preserve"> Maryland Code, Public Utility Companies Article, at §§ 7-501 </w:t>
      </w:r>
      <w:r>
        <w:rPr>
          <w:i/>
        </w:rPr>
        <w:t>et seq.</w:t>
      </w:r>
      <w:r>
        <w:rPr/>
        <w:t xml:space="preserve"> (1999).  Electric distribution service, however, is not affected by commodity deregulation.  </w:t>
      </w:r>
      <w:r>
        <w:rPr>
          <w:i/>
        </w:rPr>
        <w:t>Id.,</w:t>
      </w:r>
      <w:r>
        <w:rPr/>
        <w:t xml:space="preserve"> at § 7-506.  Therefore, entities seeking to provide electric distribution services in Maryland first must obtain the necessary State and PSC authorizations, consistent with Section 8093.</w:t>
      </w:r>
    </w:p>
    <w:p>
      <w:pPr>
        <w:pStyle w:val="BodyText"/>
        <w:spacing w:lineRule="auto" w:line="480"/>
        <w:jc w:val="both"/>
        <w:rPr/>
      </w:pPr>
      <w:r>
        <w:rPr/>
        <w:t xml:space="preserve">Federal procurement regulations require that agencies comply with Section 8093 when acquiring electric services.  Specifically, FAR 41.201 refers to Section 8093 and restates the statutory requirement for compliance with State law, including public utility commission authority and franchise restrictions.  </w:t>
      </w:r>
      <w:r>
        <w:rPr>
          <w:i/>
        </w:rPr>
        <w:t>See</w:t>
      </w:r>
      <w:r>
        <w:rPr/>
        <w:t xml:space="preserve"> 48 C.F.R. § 41.201(a) and (d)(1).</w:t>
      </w:r>
      <w:r>
        <w:rPr>
          <w:rStyle w:val="FootnoteCharacters"/>
          <w:rStyle w:val="FootnoteReference"/>
        </w:rPr>
        <w:footnoteReference w:id="7"/>
      </w:r>
      <w:r>
        <w:rPr/>
        <w:t xml:space="preserve">  In addition, to ensure agency compliance with Section 8093, the regulation sets forth two restrictions on competitive procurements for electric service.  First, the regulation mandates that before an agency acquires electric services through a competitive procurement, the contracting officer must determine that such a competition would be consistent with State law.  </w:t>
      </w:r>
      <w:r>
        <w:rPr>
          <w:i/>
        </w:rPr>
        <w:t>See</w:t>
      </w:r>
      <w:r>
        <w:rPr/>
        <w:t xml:space="preserve"> 48 C.F.R. § 41.201(e).  The regulatory provision requires that the contracting officer obtain the advice of legal counsel and consult with the State public utility commission, if appropriate, when making this determination.  </w:t>
      </w:r>
      <w:r>
        <w:rPr>
          <w:i/>
        </w:rPr>
        <w:t>Id.</w:t>
      </w:r>
      <w:r>
        <w:rPr/>
        <w:t xml:space="preserve">  Second, it states that any competitive solicitation must require offerors to:  (i) certify in their proposals that they can provide electric services consistent with State law and Section 8093; and (ii) support this certification with “appropriate legal and factual rationale.”</w:t>
      </w:r>
      <w:r>
        <w:rPr>
          <w:rStyle w:val="FootnoteCharacters"/>
          <w:rStyle w:val="FootnoteReference"/>
        </w:rPr>
        <w:footnoteReference w:id="8"/>
      </w:r>
      <w:r>
        <w:rPr/>
        <w:t xml:space="preserve">  </w:t>
      </w:r>
      <w:r>
        <w:rPr>
          <w:i/>
        </w:rPr>
        <w:t>Id.</w:t>
      </w:r>
    </w:p>
    <w:p>
      <w:pPr>
        <w:pStyle w:val="BodyText"/>
        <w:spacing w:lineRule="auto" w:line="480"/>
        <w:jc w:val="both"/>
        <w:rPr/>
      </w:pPr>
      <w:r>
        <w:rPr/>
        <w:t>Similarly, DOD regulations for utility services -- including both electric and natural gas services -- require compliance with State law and restrict the use of competitive procurements accordingly.  These regulations describe DOD policy for the purchase of utility services in part as follows:</w:t>
      </w:r>
    </w:p>
    <w:p>
      <w:pPr>
        <w:pStyle w:val="BodyText"/>
        <w:ind w:hanging="0" w:start="1440" w:end="1440"/>
        <w:jc w:val="both"/>
        <w:rPr/>
      </w:pPr>
      <w:r>
        <w:rPr/>
        <w:t>(1)</w:t>
        <w:tab/>
      </w:r>
      <w:r>
        <w:rPr>
          <w:u w:val="single"/>
        </w:rPr>
        <w:t>Except as provided in FAR 41.201, DoD, as a matter of comity, will comply with the current regulations, practices and decisions of independent regulatory bodies which are subject to judicial appeal.</w:t>
      </w:r>
      <w:r>
        <w:rPr/>
        <w:t xml:space="preserve">  This policy does not extend to regulatory bodies whose decisions are not subject to appeal nor does it extend to nonindependent regulatory bodies.</w:t>
      </w:r>
    </w:p>
    <w:p>
      <w:pPr>
        <w:pStyle w:val="bodytext1"/>
        <w:ind w:hanging="0" w:end="0"/>
        <w:jc w:val="both"/>
        <w:rPr/>
      </w:pPr>
      <w:r>
        <w:rPr/>
        <w:t>48 C.F.R. § 241.201(1) (emphasis added).</w:t>
      </w:r>
      <w:r>
        <w:rPr>
          <w:rStyle w:val="FootnoteCharacters"/>
        </w:rPr>
        <w:t xml:space="preserve"> </w:t>
      </w:r>
      <w:r>
        <w:rPr>
          <w:rStyle w:val="FootnoteCharacters"/>
          <w:rStyle w:val="FootnoteReference"/>
        </w:rPr>
        <w:footnoteReference w:id="9"/>
      </w:r>
    </w:p>
    <w:p>
      <w:pPr>
        <w:pStyle w:val="BodyText"/>
        <w:spacing w:lineRule="auto" w:line="480"/>
        <w:jc w:val="both"/>
        <w:rPr/>
      </w:pPr>
      <w:r>
        <w:rPr/>
        <w:t xml:space="preserve">Consistent with the policy of compliance with State law and regulatory authority, DOD regulations limit competitive procurement of utility services to circumstances in which:  (a) more than one entity holds franchise rights to provide such services under State law; or (b) no such franchise has been designated by the State regulatory authority.  </w:t>
      </w:r>
      <w:r>
        <w:rPr>
          <w:i/>
        </w:rPr>
        <w:t>See</w:t>
      </w:r>
      <w:r>
        <w:rPr/>
        <w:t xml:space="preserve"> 48 C.F.R. § 241.202(a)(i)(A)(1) (“Competition may be possible where dual franchises exist or where no franchise exists.”).  As reflected in these DOD regulations -- as well as Section 8093 and FAR Part 41 (48 C.F.R. § 41) -- competitive solicitations generally are inappropriate when a single entity owns the franchise rights for the area surrounding the military installation procuring utility services.  Accordingly, BGE’s franchise rights for electric and natural gas services in the Fort Meade area require the Army to cancel or amend the Consolidated Utility Privatization RFP, to avoid violating federal law by noncompliance with Maryland law and PSC regulations and rulings.</w:t>
      </w:r>
    </w:p>
    <w:p>
      <w:pPr>
        <w:pStyle w:val="bodytext1"/>
        <w:ind w:hanging="720" w:start="2880" w:end="0"/>
        <w:jc w:val="both"/>
        <w:rPr/>
      </w:pPr>
      <w:r>
        <w:rPr/>
        <w:t>3.</w:t>
        <w:tab/>
      </w:r>
      <w:r>
        <w:rPr>
          <w:i/>
        </w:rPr>
        <w:t xml:space="preserve">The Privatization Solicitation Violates The Constitution’s </w:t>
      </w:r>
      <w:r>
        <w:rPr>
          <w:i/>
          <w:u w:val="single"/>
        </w:rPr>
        <w:t xml:space="preserve">Appropriations Clause and 31 U.S.C. </w:t>
      </w:r>
      <w:r>
        <w:rPr>
          <w:u w:val="single"/>
        </w:rPr>
        <w:t>§ 1301(a)</w:t>
      </w:r>
      <w:r>
        <w:rPr>
          <w:i/>
          <w:u w:val="single"/>
        </w:rPr>
        <w:t>.</w:t>
        <w:tab/>
        <w:tab/>
        <w:tab/>
      </w:r>
      <w:r>
        <w:fldChar w:fldCharType="begin"/>
      </w:r>
      <w:r>
        <w:rPr/>
        <w:instrText xml:space="preserve"> TC "3.</w:instrText>
        <w:tab/>
        <w:instrText xml:space="preserve">The Privatization Solicitation Violates The Constitution’s Appropriations Clause and 31 U.S.C. § 1301(a)_x0013_ TA \s " \l 1 </w:instrText>
      </w:r>
      <w:r>
        <w:rPr/>
        <w:fldChar w:fldCharType="separate"/>
      </w:r>
      <w:r>
        <w:rPr/>
      </w:r>
      <w:r>
        <w:rPr/>
        <w:fldChar w:fldCharType="end"/>
      </w:r>
    </w:p>
    <w:p>
      <w:pPr>
        <w:pStyle w:val="BodyText"/>
        <w:spacing w:lineRule="auto" w:line="480"/>
        <w:jc w:val="both"/>
        <w:rPr/>
      </w:pPr>
      <w:r>
        <w:rPr/>
        <w:t>The Appropriates Clause of the Constitution of the United States (Article I, Section 9, Clause 7) assures that public funds will be spent according to the intent and judgment of Congress.  The Appropriations Clause states as follows:</w:t>
      </w:r>
    </w:p>
    <w:p>
      <w:pPr>
        <w:pStyle w:val="Quote"/>
        <w:jc w:val="both"/>
        <w:rPr/>
      </w:pPr>
      <w:r>
        <w:rPr>
          <w:u w:val="single"/>
        </w:rPr>
        <w:t>No Money shall be drawn from the Treasury, but in Consequence of Appropriations made by Law</w:t>
      </w:r>
      <w:r>
        <w:rPr/>
        <w:t>; and a regular Statement and Account of the Receipts and Expenditures of all public Money shall be published from time to time.</w:t>
      </w:r>
    </w:p>
    <w:p>
      <w:pPr>
        <w:pStyle w:val="bodytext1"/>
        <w:spacing w:lineRule="auto" w:line="480"/>
        <w:ind w:hanging="0" w:end="0"/>
        <w:jc w:val="both"/>
        <w:rPr/>
      </w:pPr>
      <w:r>
        <w:rPr/>
        <w:t>U.S. Const. Art. I, § 9, cl. 7.  This fundamental limitation on the expenditure of public funds also is codified at 31 U.S.C. § 1301(a), which states:  “Appropriations shall be applied only to the objects for which the appropriations were made except as otherwise provided by law.”</w:t>
      </w:r>
    </w:p>
    <w:p>
      <w:pPr>
        <w:pStyle w:val="bodytext1"/>
        <w:spacing w:lineRule="auto" w:line="480"/>
        <w:jc w:val="both"/>
        <w:rPr/>
      </w:pPr>
      <w:r>
        <w:rPr/>
        <w:t>Section 8093 prohibits the expenditure of appropriated funds for electric service in a manner inconsistent with State law, including the electric utility franchises or service territories established pursuant to State laws and regulations.  As discussed in Section I.C.2. above, the Army’s privatization solicitation violates Maryland law and Section 8093.  Accordingly, it also violates the Appropriations Clause and 31 U.S.C. § 1301(a) by expending public funds in a manner inconsistent with the intent of Congress expressed in Section 8093.</w:t>
      </w:r>
    </w:p>
    <w:p>
      <w:pPr>
        <w:pStyle w:val="bodytext1"/>
        <w:keepNext w:val="true"/>
        <w:ind w:start="720" w:end="0"/>
        <w:jc w:val="both"/>
        <w:rPr>
          <w:u w:val="single"/>
        </w:rPr>
      </w:pPr>
      <w:r>
        <w:rPr/>
        <w:t>D.</w:t>
        <w:tab/>
      </w:r>
      <w:r>
        <w:rPr>
          <w:u w:val="single"/>
        </w:rPr>
        <w:t>PSC Authority And Jurisdiction Is Applicable To Fort Meade.</w:t>
      </w:r>
      <w:r>
        <w:fldChar w:fldCharType="begin"/>
      </w:r>
      <w:r>
        <w:rPr/>
        <w:instrText xml:space="preserve"> TC "D.</w:instrText>
        <w:tab/>
        <w:instrText xml:space="preserve">PSC Authority And Jurisdiction Is Applicable To Fort Meade." \l 3 </w:instrText>
      </w:r>
      <w:r>
        <w:rPr/>
        <w:fldChar w:fldCharType="separate"/>
      </w:r>
      <w:r>
        <w:rPr/>
      </w:r>
      <w:r>
        <w:rPr/>
        <w:fldChar w:fldCharType="end"/>
      </w:r>
    </w:p>
    <w:p>
      <w:pPr>
        <w:pStyle w:val="bodytext1"/>
        <w:keepNext w:val="true"/>
        <w:spacing w:lineRule="auto" w:line="480"/>
        <w:jc w:val="both"/>
        <w:rPr/>
      </w:pPr>
      <w:r>
        <w:rPr/>
        <w:t>As confirmed by the recent PSC Opinion, the privatization contractor for Fort Meade will constitute a “public service company” (</w:t>
      </w:r>
      <w:r>
        <w:rPr>
          <w:i/>
        </w:rPr>
        <w:t>i.e.,</w:t>
      </w:r>
      <w:r>
        <w:rPr/>
        <w:t xml:space="preserve"> “electric company” and/or “gas company”) under Maryland law.  </w:t>
      </w:r>
      <w:r>
        <w:rPr>
          <w:i/>
        </w:rPr>
        <w:t>See</w:t>
      </w:r>
      <w:r>
        <w:rPr/>
        <w:t xml:space="preserve"> Complaint, ¶ 33.  The PSC exercises authority over “public service companies” in Maryland.  As explained below, PSC jurisdiction and authority applies to the Fort Meade area.  Accordingly, the Army must recognize necessary PSC regulatory oversight and approvals for Fort Meade in the privatization RFP.  In practical terms, the Army’s failure to require offerors to obtain the requisite PSC authority before performing the Fort Meade privatization contract has led BGE to file this Complaint.</w:t>
      </w:r>
    </w:p>
    <w:p>
      <w:pPr>
        <w:pStyle w:val="bodytext1"/>
        <w:numPr>
          <w:ilvl w:val="0"/>
          <w:numId w:val="0"/>
        </w:numPr>
        <w:ind w:hanging="720" w:start="2880" w:end="0"/>
        <w:jc w:val="both"/>
        <w:outlineLvl w:val="0"/>
        <w:rPr/>
      </w:pPr>
      <w:r>
        <w:rPr/>
        <w:t>1.</w:t>
        <w:tab/>
      </w:r>
      <w:r>
        <w:rPr>
          <w:i/>
        </w:rPr>
        <w:t xml:space="preserve">The PSC’s Authority Does Not Conflict With Federal Law Or The </w:t>
      </w:r>
      <w:r>
        <w:rPr>
          <w:i/>
          <w:u w:val="single"/>
        </w:rPr>
        <w:t>Constitution’s Supremacy Clause.</w:t>
        <w:tab/>
        <w:tab/>
        <w:tab/>
        <w:tab/>
        <w:tab/>
      </w:r>
      <w:r>
        <w:fldChar w:fldCharType="begin"/>
      </w:r>
      <w:r>
        <w:rPr/>
        <w:instrText xml:space="preserve"> TC "1.</w:instrText>
        <w:tab/>
        <w:instrText xml:space="preserve">The PSC’s Authority Does Not Conflict With Federal Law Or The Constitution’s Supremacy Clause.</w:instrText>
        <w:tab/>
        <w:instrText xml:space="preserve"/>
        <w:tab/>
        <w:instrText xml:space="preserve"/>
        <w:tab/>
        <w:instrText xml:space="preserve"/>
        <w:tab/>
        <w:instrText xml:space="preserve"/>
        <w:tab/>
        <w:instrText xml:space="preserve">" \l 4 </w:instrText>
      </w:r>
      <w:r>
        <w:rPr/>
        <w:fldChar w:fldCharType="separate"/>
      </w:r>
      <w:r>
        <w:rPr/>
      </w:r>
      <w:r>
        <w:rPr/>
        <w:fldChar w:fldCharType="end"/>
      </w:r>
    </w:p>
    <w:p>
      <w:pPr>
        <w:pStyle w:val="BodyText"/>
        <w:spacing w:lineRule="auto" w:line="480"/>
        <w:jc w:val="both"/>
        <w:rPr/>
      </w:pPr>
      <w:r>
        <w:rPr/>
        <w:t xml:space="preserve">The Supremacy Clause of the United States Constitution shields the Federal Government from State laws which (a) regulate the Government directly or discriminate against it; or (b) conflict with existing federal law.  </w:t>
      </w:r>
      <w:r>
        <w:rPr>
          <w:i/>
        </w:rPr>
        <w:t>See North Dakota v. United States,</w:t>
      </w:r>
      <w:r>
        <w:rPr/>
        <w:t xml:space="preserve"> 495 U.S. 423, 434, 110 S.Ct. 1986, 1994 (1990).  However, the application of PSC authority to “public service companies” at Fort Meade does not run afoul of the Supremacy Clause.  In fact, the PSC’s jurisdiction over the contract awardee at Fort Meade will </w:t>
      </w:r>
      <w:r>
        <w:rPr>
          <w:u w:val="single"/>
        </w:rPr>
        <w:t>not</w:t>
      </w:r>
      <w:r>
        <w:rPr/>
        <w:t xml:space="preserve">:  (i) directly interfere with the Army’s source selection decision, or place discriminating requirements on the Army; or (ii) otherwise conflict with federal statute or regulation, including CICA (10 U.S.C. §§ 2301 </w:t>
      </w:r>
      <w:r>
        <w:rPr>
          <w:i/>
        </w:rPr>
        <w:t>et seq.</w:t>
      </w:r>
      <w:r>
        <w:rPr/>
        <w:t>) and its implementing regulations.  Accordingly, the PSC’s authority and jurisdiction over the Fort Meade privatization contractor is both appropriate and legally proper.  This is exactly what the PSC concluded.</w:t>
      </w:r>
    </w:p>
    <w:p>
      <w:pPr>
        <w:pStyle w:val="BodyText"/>
        <w:spacing w:lineRule="auto" w:line="480"/>
        <w:jc w:val="both"/>
        <w:rPr/>
      </w:pPr>
      <w:r>
        <w:rPr/>
        <w:t xml:space="preserve">First, while application of PSC authority will require offerors to obtain the necessary franchises and PSC approvals before performing the privatization contract at Fort Meade, these obligations apply to </w:t>
      </w:r>
      <w:r>
        <w:rPr>
          <w:u w:val="single"/>
        </w:rPr>
        <w:t>every</w:t>
      </w:r>
      <w:r>
        <w:rPr/>
        <w:t xml:space="preserve"> “public service company” operating in Maryland.  PSC authority is neutral toward potential offerors and not unique for the Army or Fort Meade.  Moreover, the PSC’s jurisdiction will not force the Army to award a contract to BGE without the benefit of competition, as long as some other entity obtains the same franchise rights and approvals held by BGE in Maryland.  Thus, PSC jurisdiction in the Fort Meade area is a normal incident of the organization within the same territory of two governments (</w:t>
      </w:r>
      <w:r>
        <w:rPr>
          <w:i/>
        </w:rPr>
        <w:t>i.e.,</w:t>
      </w:r>
      <w:r>
        <w:rPr/>
        <w:t xml:space="preserve"> Maryland and the United States), and neither directly interferes with nor discriminates against the Federal Government or its contractors.  </w:t>
      </w:r>
      <w:r>
        <w:rPr>
          <w:i/>
        </w:rPr>
        <w:t>See South Carolina v. Baker,</w:t>
      </w:r>
      <w:r>
        <w:rPr/>
        <w:t xml:space="preserve"> 485 U.S. 505, 523, 108 S.Ct. 1355, 1366-67 (1988); </w:t>
      </w:r>
      <w:r>
        <w:rPr>
          <w:i/>
        </w:rPr>
        <w:t>Helvering v. Gerhardt,</w:t>
      </w:r>
      <w:r>
        <w:rPr/>
        <w:t xml:space="preserve"> 304 U.S. 405, 422, 58 S.Ct. 969, 976 (1938).  Therefore, Fort Meade is not exempt from the Maryland law authorizing the PSC to regulate a “public service company” operating within the State.</w:t>
      </w:r>
    </w:p>
    <w:p>
      <w:pPr>
        <w:pStyle w:val="BodyText"/>
        <w:spacing w:lineRule="auto" w:line="480"/>
        <w:jc w:val="both"/>
        <w:rPr/>
      </w:pPr>
      <w:r>
        <w:rPr/>
        <w:t xml:space="preserve">Second, the PSC’s authority does not conflict with CICA or any other federal law.  Indeed, the RFP requires the contract awardee to comply with PSC codes and standards relevant to the electric and natural gas distribution systems at Fort Meade.  </w:t>
      </w:r>
      <w:r>
        <w:rPr>
          <w:i/>
        </w:rPr>
        <w:t>See</w:t>
      </w:r>
      <w:r>
        <w:rPr/>
        <w:t xml:space="preserve"> Complaint, ¶ 43.  CICA requires federal agencies to “obtain full and open competition through the use of competitive procedures” when procuring goods and services, except in certain designated circumstances and as “otherwise expressly authorized by statute.”  10 U.S.C. § 2304 (a)(1).  CICA provides for a specific exception to the general requirement for “full and open competition” and “competitive procedures” when the product or services needed by the Government “are available from only one responsible source or from a limited number of responsible sources,” and no other type of product or services will satisfy the agency’s needs.  10 U.S. C. § 2304(c)(1).</w:t>
      </w:r>
    </w:p>
    <w:p>
      <w:pPr>
        <w:pStyle w:val="BodyText"/>
        <w:spacing w:lineRule="auto" w:line="480"/>
        <w:jc w:val="both"/>
        <w:rPr/>
      </w:pPr>
      <w:r>
        <w:rPr/>
        <w:t>Implementing this CICA exception, the FAR allows for agency compliance with State utility regulations and states as follows:</w:t>
      </w:r>
    </w:p>
    <w:p>
      <w:pPr>
        <w:pStyle w:val="Quote"/>
        <w:jc w:val="both"/>
        <w:rPr/>
      </w:pPr>
      <w:r>
        <w:rPr/>
        <w:t>When acquiring utility services (see 41.101), circumstances may dictate that only one supplier can furnish the service (see 41.202); or when the contemplated contract is for the construction of a part of a utility system and the utility company itself is the only source available to work on the system.</w:t>
      </w:r>
    </w:p>
    <w:p>
      <w:pPr>
        <w:pStyle w:val="bodynoident"/>
        <w:spacing w:lineRule="auto" w:line="480"/>
        <w:jc w:val="both"/>
        <w:rPr/>
      </w:pPr>
      <w:r>
        <w:rPr/>
        <w:t xml:space="preserve">48 C.F.R. § 6.302-1(b)(3).  </w:t>
      </w:r>
      <w:r>
        <w:rPr>
          <w:i/>
        </w:rPr>
        <w:t>See also</w:t>
      </w:r>
      <w:r>
        <w:rPr/>
        <w:t xml:space="preserve"> 48 C.F.R. § 6.302-1(a)(2) (under this CICA exception, “full and open competition need not be provided for”).</w:t>
      </w:r>
    </w:p>
    <w:p>
      <w:pPr>
        <w:pStyle w:val="bodytext1"/>
        <w:spacing w:lineRule="auto" w:line="480"/>
        <w:jc w:val="both"/>
        <w:rPr/>
      </w:pPr>
      <w:r>
        <w:rPr/>
        <w:t>BGE currently is the only entity with the necessary franchise rights and PSC approvals to operate in the Fort Meade area.  For this reason, the Army could award a sole-source contract to BGE under the exception to CICA set forth in FAR 6.302-1.  However, PSC jurisdiction does not prevent the Army from proceeding with a competitive solicitation, pursuant to CICA, for utility privatization at Fort Meade.  Any other qualified company can pursue the right to operate in this area of Maryland.</w:t>
      </w:r>
      <w:r>
        <w:rPr>
          <w:rStyle w:val="FootnoteCharacters"/>
          <w:rStyle w:val="FootnoteReference"/>
        </w:rPr>
        <w:footnoteReference w:id="10"/>
      </w:r>
      <w:r>
        <w:rPr/>
        <w:t xml:space="preserve">  Under these circumstances, the Supremacy Clause does not allow the Army to effectively exempt offerors from obtaining PSC and other approvals otherwise applicable to “public service companies” in Maryland.  </w:t>
      </w:r>
      <w:r>
        <w:rPr>
          <w:i/>
        </w:rPr>
        <w:t>See Penn Dairies v. Milk Control Commission,</w:t>
      </w:r>
      <w:r>
        <w:rPr/>
        <w:t xml:space="preserve"> 318 U.S. 261, 270, 63 S.Ct. 617, 621 (1943) (State regulation of price of milk purchased by Federal Government did not conflict with federal law or improperly interfere with federal procurement officials).</w:t>
      </w:r>
    </w:p>
    <w:p>
      <w:pPr>
        <w:pStyle w:val="bodytext1"/>
        <w:numPr>
          <w:ilvl w:val="0"/>
          <w:numId w:val="0"/>
        </w:numPr>
        <w:ind w:hanging="720" w:start="2880" w:end="0"/>
        <w:jc w:val="both"/>
        <w:outlineLvl w:val="0"/>
        <w:rPr>
          <w:b/>
        </w:rPr>
      </w:pPr>
      <w:r>
        <w:rPr/>
        <w:t>2.</w:t>
      </w:r>
      <w:r>
        <w:rPr>
          <w:b/>
        </w:rPr>
        <w:tab/>
      </w:r>
      <w:r>
        <w:rPr>
          <w:i/>
        </w:rPr>
        <w:t>Federal Enclave Status Does Not Exempt Fort Meade From PSC</w:t>
      </w:r>
      <w:r>
        <w:rPr>
          <w:i/>
          <w:u w:val="single"/>
        </w:rPr>
        <w:t xml:space="preserve"> Authority And Jurisdiction.</w:t>
        <w:tab/>
        <w:tab/>
        <w:tab/>
        <w:tab/>
        <w:tab/>
        <w:tab/>
      </w:r>
      <w:r>
        <w:fldChar w:fldCharType="begin"/>
      </w:r>
      <w:r>
        <w:rPr/>
        <w:instrText xml:space="preserve"> TC "2.</w:instrText>
        <w:tab/>
        <w:instrText xml:space="preserve">Federal Enclave Status Does Not Exempt Fort Meade From PSC Authority And Jurisdiction.</w:instrText>
        <w:tab/>
        <w:instrText xml:space="preserve"/>
        <w:tab/>
        <w:instrText xml:space="preserve"/>
        <w:tab/>
        <w:instrText xml:space="preserve"/>
        <w:tab/>
        <w:instrText xml:space="preserve"/>
        <w:tab/>
        <w:instrText xml:space="preserve"/>
        <w:tab/>
        <w:instrText xml:space="preserve">" \l 4 </w:instrText>
      </w:r>
      <w:r>
        <w:rPr/>
        <w:fldChar w:fldCharType="separate"/>
      </w:r>
      <w:r>
        <w:rPr/>
      </w:r>
      <w:r>
        <w:rPr/>
        <w:fldChar w:fldCharType="end"/>
      </w:r>
    </w:p>
    <w:p>
      <w:pPr>
        <w:pStyle w:val="BodyText"/>
        <w:spacing w:lineRule="auto" w:line="480"/>
        <w:jc w:val="both"/>
        <w:rPr/>
      </w:pPr>
      <w:r>
        <w:rPr/>
        <w:t>A federal enclave is a federal installation within a State for which the State has ceded jurisdiction to the Federal Government.  In this regard, Article I, Section 8, Clause 17 of the United States Constitution states as follows:</w:t>
      </w:r>
    </w:p>
    <w:p>
      <w:pPr>
        <w:pStyle w:val="BodyText"/>
        <w:ind w:hanging="0" w:start="1440" w:end="1440"/>
        <w:jc w:val="both"/>
        <w:rPr/>
      </w:pPr>
      <w:r>
        <w:rPr/>
        <w:t>Congress shall have the power to exercise exclusive legislation in all cases whatsoever over such district (not exceeding ten miles square), as may, by cessation of particular States and the acceptance of Congress, become the seat of government of the United States, and to exercise like authority over all places purchased by the consent of the Legislature of the State in which the same shall be, for the erection of forts, magazines, arsenals, dock-yards, and other needful buildings.</w:t>
      </w:r>
    </w:p>
    <w:p>
      <w:pPr>
        <w:pStyle w:val="BodyText"/>
        <w:spacing w:lineRule="auto" w:line="480"/>
        <w:jc w:val="both"/>
        <w:rPr/>
      </w:pPr>
      <w:r>
        <w:rPr/>
        <w:t>This Constitutional provision -- sometimes referred to as the Federal Enclave Clause -- protects State lands ceded to the Federal Government from State or local legislation that might otherwise interfere with the federal function.  With regard to Fort Meade, however, federal enclave status does not shield the Army from PSC jurisdiction, because:  (a) Maryland’s cession of the Fort Meade property was subject to PSC’s pre-existing authority under Maryland law; (b) Congress has waived the federal enclave exemption to PSC authority by enacting Section 8093; and (c) a substantial portion of Fort Meade is subject to concurrent State jurisdiction.  Each of these points is discussed in turn below.</w:t>
      </w:r>
    </w:p>
    <w:p>
      <w:pPr>
        <w:pStyle w:val="BodyText"/>
        <w:keepNext w:val="true"/>
        <w:ind w:hanging="720" w:start="3600" w:end="0"/>
        <w:jc w:val="both"/>
        <w:rPr>
          <w:u w:val="single"/>
        </w:rPr>
      </w:pPr>
      <w:r>
        <w:rPr/>
        <w:t>a.</w:t>
        <w:tab/>
        <w:t xml:space="preserve">Regardless Of Federal Enclave Status, PSC Authority Existed Before Maryland’s Cession of Jurisdiction Over </w:t>
      </w:r>
      <w:r>
        <w:rPr>
          <w:u w:val="single"/>
        </w:rPr>
        <w:t>The Fort Meade Property.</w:t>
        <w:tab/>
        <w:tab/>
        <w:tab/>
        <w:tab/>
        <w:tab/>
      </w:r>
      <w:r>
        <w:fldChar w:fldCharType="begin"/>
      </w:r>
      <w:r>
        <w:rPr/>
        <w:instrText xml:space="preserve"> TC "a.</w:instrText>
        <w:tab/>
        <w:instrText xml:space="preserve">Regardless Of Federal Enclave Status, PSC Authority Existed Before Maryland’s Cession of Jurisdiction Over The Fort Meade Property.</w:instrText>
        <w:tab/>
        <w:instrText xml:space="preserve"/>
        <w:tab/>
        <w:instrText xml:space="preserve"/>
        <w:tab/>
        <w:instrText xml:space="preserve"/>
        <w:tab/>
        <w:instrText xml:space="preserve"/>
        <w:tab/>
        <w:instrText xml:space="preserve">" \l 5 </w:instrText>
      </w:r>
      <w:r>
        <w:rPr/>
        <w:fldChar w:fldCharType="separate"/>
      </w:r>
      <w:r>
        <w:rPr/>
      </w:r>
      <w:r>
        <w:rPr/>
        <w:fldChar w:fldCharType="end"/>
      </w:r>
    </w:p>
    <w:p>
      <w:pPr>
        <w:pStyle w:val="BodyText"/>
        <w:keepNext w:val="true"/>
        <w:spacing w:lineRule="auto" w:line="480"/>
        <w:jc w:val="both"/>
        <w:rPr/>
      </w:pPr>
      <w:r>
        <w:rPr/>
        <w:t xml:space="preserve">When a State cedes jurisdiction over territory to the Federal Government, all State laws in effect at the time of the cession and not inconsistent with applicable federal statutes are assimilated as federal law within the enclave.  </w:t>
      </w:r>
      <w:r>
        <w:rPr>
          <w:i/>
        </w:rPr>
        <w:t>See Stewart &amp; Co. v. Sadrakula,</w:t>
      </w:r>
      <w:r>
        <w:rPr/>
        <w:t xml:space="preserve"> 309 U.S. 94, 60 S.Ct. 431 (1940). With the transfer of exclusive jurisdiction to the United States, the State law adopted before the transfer remains applicable, while State law adopted after the transfer is without force in the federal enclave.  </w:t>
      </w:r>
      <w:r>
        <w:rPr>
          <w:i/>
        </w:rPr>
        <w:t>Id.</w:t>
      </w:r>
      <w:r>
        <w:rPr/>
        <w:t>, 309 U.S. at 100, 60 S.Ct. at 433-34.</w:t>
      </w:r>
    </w:p>
    <w:p>
      <w:pPr>
        <w:pStyle w:val="BodyText"/>
        <w:spacing w:lineRule="auto" w:line="480"/>
        <w:jc w:val="both"/>
        <w:rPr/>
      </w:pPr>
      <w:r>
        <w:rPr/>
        <w:t xml:space="preserve">In 1910, the Maryland legislature established the PSC.  </w:t>
      </w:r>
      <w:r>
        <w:rPr>
          <w:i/>
        </w:rPr>
        <w:t>See</w:t>
      </w:r>
      <w:r>
        <w:rPr/>
        <w:t xml:space="preserve"> Complaint, ¶ 9.  In 1917, the Federal Government established Fort Meade, after Maryland ceded jurisdiction over its land to the United States.  </w:t>
      </w:r>
      <w:r>
        <w:rPr>
          <w:i/>
        </w:rPr>
        <w:t>Id.,</w:t>
      </w:r>
      <w:r>
        <w:rPr/>
        <w:t xml:space="preserve"> ¶ 12.  Although Fort Meade’s boundaries and acreage have changed over time, Congress has not acted to alter the applicability of PSC’s authority to the Fort Meade area.  </w:t>
      </w:r>
      <w:r>
        <w:rPr>
          <w:i/>
        </w:rPr>
        <w:t>See, e.g., City of Alameda v. Todd Shipyards Corp.,</w:t>
      </w:r>
      <w:r>
        <w:rPr/>
        <w:t xml:space="preserve"> 635 F.Supp. 1447, 1449-50 (N.D.Cal. 1986).  For this fundamental reason, the PSC has jurisdiction over any entity providing utility services at Fort Meade, regardless of federal enclave status.</w:t>
      </w:r>
    </w:p>
    <w:p>
      <w:pPr>
        <w:pStyle w:val="BodyText"/>
        <w:ind w:hanging="720" w:start="3600" w:end="0"/>
        <w:jc w:val="both"/>
        <w:rPr>
          <w:u w:val="single"/>
        </w:rPr>
      </w:pPr>
      <w:r>
        <w:rPr/>
        <w:t>b.</w:t>
        <w:tab/>
        <w:t xml:space="preserve">Section 8093 Requires The Army To Privatize The Electric </w:t>
      </w:r>
      <w:r>
        <w:rPr>
          <w:u w:val="single"/>
        </w:rPr>
        <w:t>Distribution System Consistent With State Law.</w:t>
        <w:tab/>
        <w:tab/>
      </w:r>
      <w:r>
        <w:fldChar w:fldCharType="begin"/>
      </w:r>
      <w:r>
        <w:rPr/>
        <w:instrText xml:space="preserve"> TC "b.</w:instrText>
        <w:tab/>
        <w:instrText xml:space="preserve">Section 8093 Requires The Army To Privatize The Electric Distribution System Consistent With State Law.</w:instrText>
        <w:tab/>
        <w:instrText xml:space="preserve"/>
        <w:tab/>
        <w:instrText xml:space="preserve">" \l 5 </w:instrText>
      </w:r>
      <w:r>
        <w:rPr/>
        <w:fldChar w:fldCharType="separate"/>
      </w:r>
      <w:r>
        <w:rPr/>
      </w:r>
      <w:r>
        <w:rPr/>
        <w:fldChar w:fldCharType="end"/>
      </w:r>
    </w:p>
    <w:p>
      <w:pPr>
        <w:pStyle w:val="BodyText"/>
        <w:spacing w:lineRule="auto" w:line="480"/>
        <w:jc w:val="both"/>
        <w:rPr/>
      </w:pPr>
      <w:r>
        <w:rPr/>
        <w:t>Federal enclave status for Fort Meade does not exempt the Army from the Section 8093 requirement that DOD procure electric service and privatization of electric distribution systems in a manner consistent with State law.  Section 8093, its legislative history, applicable case law, and the circumstances of the subject RFP indicate that the Army must comply with Maryland law and recognize the PSC’s authority and jurisdiction over the ultimate contract awardee.</w:t>
      </w:r>
    </w:p>
    <w:p>
      <w:pPr>
        <w:pStyle w:val="BodyText"/>
        <w:spacing w:lineRule="auto" w:line="480"/>
        <w:jc w:val="both"/>
        <w:rPr/>
      </w:pPr>
      <w:r>
        <w:rPr/>
        <w:t xml:space="preserve">The plain language of Section 8093 makes clear its applicability to the purchase of electric service for a federal enclave.  Section 8093 prohibits the use of appropriated funds for the purchase of electric services inconsistent with State law “by </w:t>
      </w:r>
      <w:r>
        <w:rPr>
          <w:u w:val="single"/>
        </w:rPr>
        <w:t>any</w:t>
      </w:r>
      <w:r>
        <w:rPr/>
        <w:t xml:space="preserve"> Department, agency, or instrumentality of the United States.”  Pub. L. 100-202 § 8093, 101 Stat. 1329-79 (Dec. 22, 1987) (emphasis added).  </w:t>
      </w:r>
      <w:r>
        <w:rPr>
          <w:i/>
        </w:rPr>
        <w:t>See</w:t>
      </w:r>
      <w:r>
        <w:rPr/>
        <w:t xml:space="preserve"> Section I.C.2. above.  It does not exempt federal enclaves or any other federal entity from this requirement.  </w:t>
      </w:r>
      <w:r>
        <w:rPr>
          <w:i/>
        </w:rPr>
        <w:t>See West River Elec., Inc. v. Black Hills Power and Light Co.,</w:t>
      </w:r>
      <w:r>
        <w:rPr/>
        <w:t xml:space="preserve"> 918 F.2d 713, 721 (8</w:t>
      </w:r>
      <w:r>
        <w:rPr>
          <w:vertAlign w:val="superscript"/>
        </w:rPr>
        <w:t>th</w:t>
      </w:r>
      <w:r>
        <w:rPr/>
        <w:t xml:space="preserve"> Cir. 1990), (“</w:t>
      </w:r>
      <w:r>
        <w:rPr>
          <w:i/>
        </w:rPr>
        <w:t>Black Hills</w:t>
      </w:r>
      <w:r>
        <w:rPr/>
        <w:t>”), (Magill, dissenting), citing</w:t>
      </w:r>
      <w:r>
        <w:rPr>
          <w:i/>
        </w:rPr>
        <w:t xml:space="preserve"> Offutt Hous. Co. v. County of Sarpy,</w:t>
      </w:r>
      <w:r>
        <w:rPr/>
        <w:t xml:space="preserve"> 351 U.S. 253, 259-60, 76 S.Ct. 814, 818-19 (1956).</w:t>
      </w:r>
      <w:r>
        <w:rPr>
          <w:rStyle w:val="FootnoteCharacters"/>
          <w:rStyle w:val="FootnoteReference"/>
        </w:rPr>
        <w:footnoteReference w:id="11"/>
      </w:r>
      <w:r>
        <w:rPr/>
        <w:t xml:space="preserve">  The plain language of Section 8093, therefore, constitutes “a specific congressional deferral to state authority over federal property,” establishing its applicability to federal enclaves consistent with Supreme Court precedent.  </w:t>
      </w:r>
      <w:r>
        <w:rPr>
          <w:i/>
        </w:rPr>
        <w:t>See Howard v. Commissioners,</w:t>
      </w:r>
      <w:r>
        <w:rPr/>
        <w:t xml:space="preserve"> 344 U.S. 624, 73 S.Ct. 465 (1953).</w:t>
      </w:r>
    </w:p>
    <w:p>
      <w:pPr>
        <w:pStyle w:val="BodyText"/>
        <w:spacing w:lineRule="auto" w:line="480"/>
        <w:jc w:val="both"/>
        <w:rPr/>
      </w:pPr>
      <w:r>
        <w:rPr/>
        <w:t xml:space="preserve">In addition, the timing of Section 8093’s enactment indicates that Congress had no intention of excluding federal enclaves from the scope of its applicability.  In a previous related decision decided before passage of Section 8093, </w:t>
      </w:r>
      <w:r>
        <w:rPr>
          <w:i/>
        </w:rPr>
        <w:t>Black Hills Power &amp; Light Co. v. Weinberger,</w:t>
      </w:r>
      <w:r>
        <w:rPr/>
        <w:t xml:space="preserve"> 808 F.2d 665 (8</w:t>
      </w:r>
      <w:r>
        <w:rPr>
          <w:vertAlign w:val="superscript"/>
        </w:rPr>
        <w:t>th</w:t>
      </w:r>
      <w:r>
        <w:rPr/>
        <w:t xml:space="preserve"> Cir.), </w:t>
      </w:r>
      <w:r>
        <w:rPr>
          <w:i/>
        </w:rPr>
        <w:t>cert. denied</w:t>
      </w:r>
      <w:r>
        <w:rPr/>
        <w:t>, 484 U.S. 818, 108 S.Ct. 73 (1987) (“</w:t>
      </w:r>
      <w:r>
        <w:rPr>
          <w:i/>
        </w:rPr>
        <w:t>Weinberger”)</w:t>
      </w:r>
      <w:r>
        <w:rPr/>
        <w:t xml:space="preserve">, the U.S. Court of Appeals for the Eighth Circuit held that the Air Force was not required to comply with State utility laws when procuring electric services for Ellsworth Air Force Base, a federal enclave.  Congress enacted Section 8093 just 77 days after the U.S. Supreme Court declined to review the Eighth’s Circuit’s decision in </w:t>
      </w:r>
      <w:r>
        <w:rPr>
          <w:i/>
        </w:rPr>
        <w:t>Weinberger.</w:t>
      </w:r>
      <w:r>
        <w:rPr/>
        <w:t xml:space="preserve">  Thus, the circumstances surrounding the enactment of Section 8093 strongly suggest that Congress specifically intended to make the statute apply to federal enclaves.  </w:t>
      </w:r>
      <w:r>
        <w:rPr>
          <w:i/>
        </w:rPr>
        <w:t>See Black Hills,</w:t>
      </w:r>
      <w:r>
        <w:rPr/>
        <w:t xml:space="preserve"> at 918 F.2d at 722 (Magill, dissenting).</w:t>
      </w:r>
    </w:p>
    <w:p>
      <w:pPr>
        <w:pStyle w:val="BodyText"/>
        <w:spacing w:lineRule="auto" w:line="480"/>
        <w:jc w:val="both"/>
        <w:rPr/>
      </w:pPr>
      <w:r>
        <w:rPr/>
        <w:t>The Congressional intent and legislative purpose of Section 8093 -- as reflected in its legislative history -- also demonstrate its applicability to federal enclaves.  In this regard, the Senate Report that accompanied the statute’s enactment states as follows:</w:t>
      </w:r>
    </w:p>
    <w:p>
      <w:pPr>
        <w:pStyle w:val="BodyText"/>
        <w:ind w:start="1440" w:end="1440"/>
        <w:jc w:val="both"/>
        <w:rPr/>
      </w:pPr>
      <w:r>
        <w:rPr>
          <w:u w:val="single"/>
        </w:rPr>
        <w:t>This provision is intended to protect remaining customers of utility systems from the higher rates that inevitably would result if a Federal customer were allowed to leave local utility systems to obtain retail electric utility service from a nonlocal supplier.</w:t>
      </w:r>
      <w:r>
        <w:rPr/>
        <w:t xml:space="preserve">  The Federal Power Act of 1935 divided regulatory responsibility over the provision of electric service between Federal and State regulatory bodies, specifically leaving retail rate and service regulation to the jurisdiction of the States and asserting Federal jurisdiction over wholesale rate and service regulation.  </w:t>
      </w:r>
      <w:r>
        <w:rPr>
          <w:u w:val="single"/>
        </w:rPr>
        <w:t>Proposals by Federal executive agencies to purchase power competitively, without regard to the separation of State and Federal regulatory authority or to the means by which States have divided responsibility for serving customers, is contrary to the regulatory framework Congress, and, derivatively, the States, have so carefully designed.</w:t>
      </w:r>
    </w:p>
    <w:p>
      <w:pPr>
        <w:pStyle w:val="BodyText"/>
        <w:ind w:start="1440" w:end="1440"/>
        <w:jc w:val="both"/>
        <w:rPr/>
      </w:pPr>
      <w:r>
        <w:rPr/>
        <w:t>Generally, retail electric utility service is provided by suppliers authorized to serve within service territories.  Authorization to provide service within these areas typically is derived from State law, either by statute or by delegation to a regulatory commission, or through delegation to a political subdivision of the State.</w:t>
      </w:r>
    </w:p>
    <w:p>
      <w:pPr>
        <w:pStyle w:val="BodyText"/>
        <w:ind w:start="1440" w:end="1440"/>
        <w:jc w:val="both"/>
        <w:rPr/>
      </w:pPr>
      <w:r>
        <w:rPr/>
        <w:t xml:space="preserve">Whether through service territory, a franchise, service-related permit, a certificate of public convenience and necessity, a territorial agreement, or other means, retail electric utility service usually is provided by one supplier within any given area.  </w:t>
      </w:r>
      <w:r>
        <w:rPr>
          <w:u w:val="single"/>
        </w:rPr>
        <w:t>When procuring retail electric utility service, the Federal Government should abide by these service arrangements just like any other customer of an electric utility.</w:t>
      </w:r>
    </w:p>
    <w:p>
      <w:pPr>
        <w:pStyle w:val="BodyText"/>
        <w:ind w:start="2880" w:end="1440"/>
        <w:jc w:val="both"/>
        <w:rPr/>
      </w:pPr>
      <w:r>
        <w:rPr/>
        <w:t>*</w:t>
        <w:tab/>
        <w:tab/>
        <w:t>*</w:t>
        <w:tab/>
        <w:tab/>
        <w:t>*</w:t>
      </w:r>
    </w:p>
    <w:p>
      <w:pPr>
        <w:pStyle w:val="BodyText"/>
        <w:spacing w:lineRule="auto" w:line="480"/>
        <w:ind w:hanging="0" w:end="0"/>
        <w:jc w:val="both"/>
        <w:rPr/>
      </w:pPr>
      <w:r>
        <w:rPr/>
        <w:t>S. Rep. No. 235, 100</w:t>
      </w:r>
      <w:r>
        <w:rPr>
          <w:vertAlign w:val="superscript"/>
        </w:rPr>
        <w:t>th</w:t>
      </w:r>
      <w:r>
        <w:rPr/>
        <w:t xml:space="preserve"> Cong., 1</w:t>
      </w:r>
      <w:r>
        <w:rPr>
          <w:vertAlign w:val="superscript"/>
        </w:rPr>
        <w:t>st</w:t>
      </w:r>
      <w:r>
        <w:rPr/>
        <w:t xml:space="preserve"> Sess. 70-71 (1987) (emphasis added).  The House Report for Section 8093 contains similar language.  </w:t>
      </w:r>
      <w:r>
        <w:rPr>
          <w:i/>
        </w:rPr>
        <w:t>See</w:t>
      </w:r>
      <w:r>
        <w:rPr/>
        <w:t xml:space="preserve"> H.R. Rep. No. 410, 100</w:t>
      </w:r>
      <w:r>
        <w:rPr>
          <w:vertAlign w:val="superscript"/>
        </w:rPr>
        <w:t>th</w:t>
      </w:r>
      <w:r>
        <w:rPr/>
        <w:t xml:space="preserve"> Cong., 1</w:t>
      </w:r>
      <w:r>
        <w:rPr>
          <w:vertAlign w:val="superscript"/>
        </w:rPr>
        <w:t>st</w:t>
      </w:r>
      <w:r>
        <w:rPr/>
        <w:t xml:space="preserve"> Sess. 277 (1987).</w:t>
      </w:r>
    </w:p>
    <w:p>
      <w:pPr>
        <w:pStyle w:val="BodyText"/>
        <w:spacing w:lineRule="auto" w:line="480"/>
        <w:jc w:val="both"/>
        <w:rPr/>
      </w:pPr>
      <w:r>
        <w:rPr/>
        <w:t>As the Senate Report states, Section 8093 requires federal agencies to abide by State franchise and territory arrangements “just like any other customer of an electric utility.”  S. Rep. No. 235, 100</w:t>
      </w:r>
      <w:r>
        <w:rPr>
          <w:vertAlign w:val="superscript"/>
        </w:rPr>
        <w:t>th</w:t>
      </w:r>
      <w:r>
        <w:rPr/>
        <w:t xml:space="preserve"> Cong., 1</w:t>
      </w:r>
      <w:r>
        <w:rPr>
          <w:vertAlign w:val="superscript"/>
        </w:rPr>
        <w:t>st</w:t>
      </w:r>
      <w:r>
        <w:rPr/>
        <w:t xml:space="preserve"> Sess. 70-71 (1987).  Like the statute itself, Section 8093’s legislative history contains no exception for federal enclaves.  They too -- like every other entity of the Federal Government -- must comply with Section 8093 and State law when procuring electric services.  Indeed, given the abundance of federal enclaves among the country’s federal installations, such an exception would eviscerate the intent and purpose of the legislation.</w:t>
      </w:r>
    </w:p>
    <w:p>
      <w:pPr>
        <w:pStyle w:val="BodyText"/>
        <w:spacing w:lineRule="auto" w:line="480"/>
        <w:jc w:val="both"/>
        <w:rPr/>
      </w:pPr>
      <w:r>
        <w:rPr/>
        <w:t xml:space="preserve">The Senate and House Reports for Section 8093 indicate that Congress intended to protect remaining customers of electric distribution systems from having to pay higher rates as a result of the loss of an existing Federal Government customer.  Allowing a federal agency to conduct a competitive procurement, and obtain electric distribution or generation services from a new supplier would violate the authority of the States to regulate electric service, and potentially would subject the local utility’s other customers to rate increases.  For these reasons, Congress enacted Section 8093 to prevent federal agencies from disrupting a State’s regulatory framework by procuring electric distribution or generation services under competitive solicitations without regard for State franchise and territory restrictions.  </w:t>
      </w:r>
      <w:r>
        <w:rPr>
          <w:i/>
        </w:rPr>
        <w:t>See Black Hills</w:t>
      </w:r>
      <w:r>
        <w:rPr/>
        <w:t>, 918 F.2d at 719 (Ross, deciding), and 720-21 (Magill, dissenting).</w:t>
      </w:r>
      <w:r>
        <w:rPr>
          <w:rStyle w:val="FootnoteCharacters"/>
          <w:rStyle w:val="FootnoteReference"/>
        </w:rPr>
        <w:footnoteReference w:id="12"/>
      </w:r>
    </w:p>
    <w:p>
      <w:pPr>
        <w:pStyle w:val="BodyText"/>
        <w:spacing w:lineRule="auto" w:line="480"/>
        <w:jc w:val="both"/>
        <w:rPr/>
      </w:pPr>
      <w:r>
        <w:rPr/>
        <w:t>Award of a contract for privatization of Fort Meade’s electric distribution system to another company could subject BGE’s existing customers to potential rate impacts for electric service.  BGE has invested significant economic resources to augment its utility distribution infrastructure to accommodate anticipated growth in the Fort Meade area.  BGE’s investment has been based in part on the expectation that BGE will continue to service Fort Meade’s electric and natural gas requirements.  Along with providing electric service to Fort Meade under the Areawide Contract, BGE’s distribution system also provides electric service and/or natural gas service directly to 16 buildings on Fort Meade under standard tariff pricing; and BGE soon will provide such direct service to two additional Fort Meade buildings.</w:t>
      </w:r>
      <w:r>
        <w:rPr>
          <w:rStyle w:val="FootnoteCharacters"/>
          <w:rStyle w:val="FootnoteReference"/>
        </w:rPr>
        <w:footnoteReference w:id="13"/>
      </w:r>
      <w:r>
        <w:rPr/>
        <w:t xml:space="preserve">  </w:t>
      </w:r>
      <w:r>
        <w:rPr>
          <w:i/>
        </w:rPr>
        <w:t>See</w:t>
      </w:r>
      <w:r>
        <w:rPr/>
        <w:t xml:space="preserve"> Complaint, ¶¶ 17 and 18.  Unlike the utility in </w:t>
      </w:r>
      <w:r>
        <w:rPr>
          <w:i/>
        </w:rPr>
        <w:t>Black Hills</w:t>
      </w:r>
      <w:r>
        <w:rPr/>
        <w:t>, BGE is the Fort Meade incumbent utility contractor.  In the event the Army awards the Fort Meade privatization to another company, over time BGE could lose the 18 Fort Meade buildings utilizing BGE’s utility distribution systems.  Section 8093 protects incumbent utilities like BGE from such abandonment by prohibiting competitive procurements for electric services by DOD in a manner inconsistent with Maryland law.</w:t>
      </w:r>
    </w:p>
    <w:p>
      <w:pPr>
        <w:pStyle w:val="BodyText"/>
        <w:ind w:hanging="720" w:start="3600" w:end="0"/>
        <w:jc w:val="both"/>
        <w:rPr/>
      </w:pPr>
      <w:r>
        <w:rPr/>
        <w:t>c.</w:t>
        <w:tab/>
        <w:t xml:space="preserve">A Substantial Portion Of Fort Meade Is Subject To </w:t>
      </w:r>
      <w:r>
        <w:rPr>
          <w:u w:val="single"/>
        </w:rPr>
        <w:t>Concurrent State Jurisdiction.</w:t>
        <w:tab/>
        <w:tab/>
        <w:tab/>
        <w:tab/>
        <w:tab/>
      </w:r>
      <w:r>
        <w:fldChar w:fldCharType="begin"/>
      </w:r>
      <w:r>
        <w:rPr/>
        <w:instrText xml:space="preserve"> TC "c.</w:instrText>
        <w:tab/>
        <w:instrText xml:space="preserve">A Substantial Portion Of Fort Meade Is Subject To Concurrent State Jurisdiction.</w:instrText>
        <w:tab/>
        <w:instrText xml:space="preserve"/>
        <w:tab/>
        <w:instrText xml:space="preserve"/>
        <w:tab/>
        <w:instrText xml:space="preserve"/>
        <w:tab/>
        <w:instrText xml:space="preserve"/>
        <w:tab/>
        <w:instrText xml:space="preserve">" \l 5 </w:instrText>
      </w:r>
      <w:r>
        <w:rPr/>
        <w:fldChar w:fldCharType="separate"/>
      </w:r>
      <w:r>
        <w:rPr/>
      </w:r>
      <w:r>
        <w:rPr/>
        <w:fldChar w:fldCharType="end"/>
      </w:r>
    </w:p>
    <w:p>
      <w:pPr>
        <w:pStyle w:val="BodyText"/>
        <w:spacing w:lineRule="auto" w:line="480"/>
        <w:jc w:val="both"/>
        <w:rPr/>
      </w:pPr>
      <w:r>
        <w:rPr/>
        <w:t xml:space="preserve">Although the Federal Enclave Clause refers to “exclusive” federal jurisdiction over enclaves, a State can reserve vestiges of jurisdiction over ceded areas.  As long as these reservations do not conflict with federal legislation, concurrent jurisdiction arrangements are possible.  </w:t>
      </w:r>
      <w:r>
        <w:rPr>
          <w:i/>
        </w:rPr>
        <w:t>See Stewart &amp; Co. v. Sadrakula,</w:t>
      </w:r>
      <w:r>
        <w:rPr/>
        <w:t xml:space="preserve"> 309 U.S. at 99, 60 S.Ct. at 433-34.  The Army presently shares concurrent jurisdiction with the State over a significant portion of Fort Meade.  In fact, according to BGE’s review of the Army’s “Revised Jurisdiction Summary” and internal Army correspondence, approximately 14% of Fort Meade’s current acreage is now subject to some form of concurrent jurisdiction (including PSC authority), either by State statute or by voluntary consent to BGE’s tariff pricing for utility service (</w:t>
      </w:r>
      <w:r>
        <w:rPr>
          <w:i/>
        </w:rPr>
        <w:t>i.e</w:t>
      </w:r>
      <w:r>
        <w:rPr/>
        <w:t xml:space="preserve">., 588 + 114 acres).  </w:t>
      </w:r>
      <w:r>
        <w:rPr>
          <w:i/>
        </w:rPr>
        <w:t>See</w:t>
      </w:r>
      <w:r>
        <w:rPr/>
        <w:t xml:space="preserve"> Complaint, ¶¶ 12, 13 and 18.</w:t>
      </w:r>
    </w:p>
    <w:p>
      <w:pPr>
        <w:pStyle w:val="BodyText"/>
        <w:spacing w:lineRule="auto" w:line="480"/>
        <w:jc w:val="both"/>
        <w:rPr/>
      </w:pPr>
      <w:r>
        <w:rPr/>
        <w:t xml:space="preserve">Moreover, based on the Government’s past practice, the Army’s pending privatization of Fort Meade housing will lead to conversion of the privatized housing property to concurrent jurisdiction with Maryland.  When this happens, concurrent Maryland jurisdiction (including PSC authority) will apply to approximately half of Fort Meade.  </w:t>
      </w:r>
      <w:r>
        <w:rPr>
          <w:i/>
        </w:rPr>
        <w:t>Id.,</w:t>
      </w:r>
      <w:r>
        <w:rPr/>
        <w:t xml:space="preserve"> ¶¶ 12, 13, 18 and 19.  With such a substantial portion of its area subject to concurrent Maryland jurisdiction, Fort Meade cannot avoid applicable State law and PSC authority over “public service companies” operating on the premises.  </w:t>
      </w:r>
      <w:r>
        <w:rPr>
          <w:i/>
        </w:rPr>
        <w:t>Compare Black Hills Power and Light Co. v. Weinberger,</w:t>
      </w:r>
      <w:r>
        <w:rPr/>
        <w:t xml:space="preserve"> 808 F.2d 665, 670 (8</w:t>
      </w:r>
      <w:r>
        <w:rPr>
          <w:vertAlign w:val="superscript"/>
        </w:rPr>
        <w:t>th</w:t>
      </w:r>
      <w:r>
        <w:rPr/>
        <w:t xml:space="preserve"> Cir. 1987) (holding that 12% concurrent jurisdiction was not sufficient for State regulation within a federal enclave, but indicating that a higher percentage may compromise the federal enclave exemption).</w:t>
      </w:r>
      <w:r>
        <w:rPr>
          <w:rStyle w:val="FootnoteCharacters"/>
        </w:rPr>
        <w:t xml:space="preserve"> </w:t>
      </w:r>
    </w:p>
    <w:p>
      <w:pPr>
        <w:pStyle w:val="bodytext1"/>
        <w:ind w:hanging="720" w:start="1440" w:end="0"/>
        <w:jc w:val="both"/>
        <w:rPr>
          <w:u w:val="single"/>
        </w:rPr>
      </w:pPr>
      <w:r>
        <w:rPr/>
        <w:t>E.</w:t>
        <w:tab/>
        <w:t>The Army Must Cancel Or Amend The Solicitation To Require Offerors To</w:t>
      </w:r>
      <w:r>
        <w:rPr>
          <w:u w:val="single"/>
        </w:rPr>
        <w:t xml:space="preserve"> Demonstrate Compliance With Maryland Law.</w:t>
        <w:tab/>
        <w:tab/>
        <w:tab/>
        <w:tab/>
        <w:tab/>
      </w:r>
      <w:r>
        <w:fldChar w:fldCharType="begin"/>
      </w:r>
      <w:r>
        <w:rPr/>
        <w:instrText xml:space="preserve"> TC "E.</w:instrText>
        <w:tab/>
        <w:instrText xml:space="preserve">The Army Must Cancel Or Amend The Solicitation To Require Offerors To Demonstrate Compliance With Maryland Law.</w:instrText>
        <w:tab/>
        <w:instrText xml:space="preserve"/>
        <w:tab/>
        <w:instrText xml:space="preserve"/>
        <w:tab/>
        <w:instrText xml:space="preserve"/>
        <w:tab/>
        <w:instrText xml:space="preserve"/>
        <w:tab/>
        <w:instrText xml:space="preserve">" \l 3 </w:instrText>
      </w:r>
      <w:r>
        <w:rPr/>
        <w:fldChar w:fldCharType="separate"/>
      </w:r>
      <w:r>
        <w:rPr/>
      </w:r>
      <w:r>
        <w:rPr/>
        <w:fldChar w:fldCharType="end"/>
      </w:r>
    </w:p>
    <w:p>
      <w:pPr>
        <w:pStyle w:val="BodyText"/>
        <w:spacing w:lineRule="auto" w:line="480"/>
        <w:jc w:val="both"/>
        <w:rPr/>
      </w:pPr>
      <w:r>
        <w:rPr/>
        <w:t xml:space="preserve">The Army must restructure the Consolidated Utility Privatization RFP to ensure that the ultimate awardee is authorized under Maryland law to own, operate and maintain Fort Meade’s electric and natural gas distribution systems.  BGE currently is the only entity authorized to do so.  </w:t>
      </w:r>
      <w:r>
        <w:rPr>
          <w:i/>
        </w:rPr>
        <w:t>See</w:t>
      </w:r>
      <w:r>
        <w:rPr/>
        <w:t xml:space="preserve"> Complaint, ¶¶ 8-11.  Ideally, the Army should cancel the Solicitation and pursue privatization of Fort Meade’s electric and natural gas systems with BGE on a sole-source basis.  A noncompetitive, sole-source procurement is justified and appropriate, because BGE is the only responsible potential offeror under Maryland law.  </w:t>
      </w:r>
      <w:r>
        <w:rPr>
          <w:i/>
        </w:rPr>
        <w:t>See</w:t>
      </w:r>
      <w:r>
        <w:rPr/>
        <w:t xml:space="preserve"> 48 C.F.R. § 6.302-1(a)(2).  This acquisition approach would ensure that Fort Meade’s privatization is accomplished in the most timely and efficient manner.</w:t>
      </w:r>
      <w:r>
        <w:rPr>
          <w:rStyle w:val="FootnoteCharacters"/>
          <w:rStyle w:val="FootnoteReference"/>
        </w:rPr>
        <w:footnoteReference w:id="14"/>
      </w:r>
    </w:p>
    <w:p>
      <w:pPr>
        <w:pStyle w:val="BodyText"/>
        <w:spacing w:lineRule="auto" w:line="480"/>
        <w:jc w:val="both"/>
        <w:rPr/>
      </w:pPr>
      <w:r>
        <w:rPr/>
        <w:t>In the alternative, the Army should amend the RFP to require offerors -- as a condition of eligibility for contract award -- to prove that they possess electric and natural gas service territory and franchise rights for the Fort Meade area under Maryland law.  The RFP should be amended to require each offeror to demonstrate with documentary evidence that it has received the necessary service territory authority and franchises for electric and natural gas distribution services, as well as PSC approval to exercise the franchises at Fort Meade.</w:t>
      </w:r>
    </w:p>
    <w:p>
      <w:pPr>
        <w:pStyle w:val="Normal"/>
        <w:keepNext w:val="true"/>
        <w:ind w:start="720" w:end="0"/>
        <w:jc w:val="both"/>
        <w:rPr>
          <w:b/>
        </w:rPr>
      </w:pPr>
      <w:r>
        <w:rPr>
          <w:b/>
        </w:rPr>
      </w:r>
    </w:p>
    <w:p>
      <w:pPr>
        <w:pStyle w:val="Normal"/>
        <w:keepNext w:val="true"/>
        <w:numPr>
          <w:ilvl w:val="0"/>
          <w:numId w:val="0"/>
        </w:numPr>
        <w:ind w:start="720" w:end="0"/>
        <w:jc w:val="both"/>
        <w:outlineLvl w:val="0"/>
        <w:rPr>
          <w:b/>
        </w:rPr>
      </w:pPr>
      <w:r>
        <w:rPr>
          <w:b/>
        </w:rPr>
        <w:t>II.</w:t>
        <w:tab/>
      </w:r>
      <w:r>
        <w:rPr>
          <w:b/>
          <w:i/>
          <w:u w:val="single"/>
        </w:rPr>
        <w:t>Plaintiff Will Suffer Irreparable Harm And Has No Adequate Remedy At Law.</w:t>
      </w:r>
      <w:r>
        <w:fldChar w:fldCharType="begin"/>
      </w:r>
      <w:r>
        <w:rPr/>
        <w:instrText xml:space="preserve"> TC "II.</w:instrText>
        <w:tab/>
        <w:instrText xml:space="preserve">Plaintiff Will Suffer Irreparable Harm And Has No Adequate Remedy At Law." \l 2 </w:instrText>
      </w:r>
      <w:r>
        <w:rPr/>
        <w:fldChar w:fldCharType="separate"/>
      </w:r>
      <w:r>
        <w:rPr/>
      </w:r>
      <w:r>
        <w:rPr/>
        <w:fldChar w:fldCharType="end"/>
      </w:r>
    </w:p>
    <w:p>
      <w:pPr>
        <w:pStyle w:val="bodytext1"/>
        <w:keepNext w:val="true"/>
        <w:spacing w:lineRule="auto" w:line="480"/>
        <w:jc w:val="both"/>
        <w:rPr/>
      </w:pPr>
      <w:r>
        <w:rPr/>
        <w:t xml:space="preserve">There is a high probability of irreparable harm to BGE, if the Army is permitted to award the privatization contract for Fort Meade under the current terms of the solicitation.  The Army contract for privatization of Fort Meade’s electric and natural gas distribution systems represents an important business opportunity for BGE.  </w:t>
      </w:r>
      <w:r>
        <w:rPr>
          <w:i/>
        </w:rPr>
        <w:t>See</w:t>
      </w:r>
      <w:r>
        <w:rPr/>
        <w:t xml:space="preserve"> Exhibit 1 hereto (Declaration of Monika S. Bay), ¶ 3.  Under the terms of the privatization solicitation, the Army will award a 50-year contract for Fort Meade’s utility distribution services with the intention of significant contract extensions on a non-competitive, sole-source basis.  </w:t>
      </w:r>
      <w:r>
        <w:rPr>
          <w:i/>
        </w:rPr>
        <w:t>See</w:t>
      </w:r>
      <w:r>
        <w:rPr/>
        <w:t xml:space="preserve"> Complaint, ¶ 44.  Moreover, at the time of contract award, the Army could transfer ownership of the Fort Meade utility distribution systems to the contract awardee.  </w:t>
      </w:r>
      <w:r>
        <w:rPr>
          <w:i/>
        </w:rPr>
        <w:t>Id.,</w:t>
      </w:r>
      <w:r>
        <w:rPr/>
        <w:t xml:space="preserve"> ¶ 42.</w:t>
      </w:r>
    </w:p>
    <w:p>
      <w:pPr>
        <w:pStyle w:val="bodytext1"/>
        <w:spacing w:lineRule="auto" w:line="480"/>
        <w:jc w:val="both"/>
        <w:rPr/>
      </w:pPr>
      <w:r>
        <w:rPr/>
        <w:t xml:space="preserve">If the Army is permitted to proceed with this illegal procurement, BGE will suffer irreparable harm.  Most importantly, the Army’s actions threaten to violate BGE’s service territory and franchise rights granted under Maryland law and PSC rulings, by potentially awarding a utility services contract to an entity not authorized to provide utility services in the Fort Meade area.  </w:t>
      </w:r>
      <w:r>
        <w:rPr>
          <w:i/>
        </w:rPr>
        <w:t>See</w:t>
      </w:r>
      <w:r>
        <w:rPr/>
        <w:t xml:space="preserve"> Exhibit 1 hereto (Declaration of Monika S. Bay), ¶ 4.  In addition, BGE will be denied its right to a “legally valid procurement process.”  </w:t>
      </w:r>
      <w:r>
        <w:rPr>
          <w:i/>
        </w:rPr>
        <w:t>See, e.g., O’Donnell Construction Company v. District of Columbia,</w:t>
      </w:r>
      <w:r>
        <w:rPr/>
        <w:t xml:space="preserve"> 963 F.2d 420, 428 (D.C. Cir. 1992); </w:t>
      </w:r>
      <w:r>
        <w:rPr>
          <w:i/>
        </w:rPr>
        <w:t>DSE, Inc. v. United States,</w:t>
      </w:r>
      <w:r>
        <w:rPr/>
        <w:t xml:space="preserve"> 3 F.Supp.2d. 1464, 1472 (D. D.C. 1998).</w:t>
      </w:r>
    </w:p>
    <w:p>
      <w:pPr>
        <w:pStyle w:val="bodytext1"/>
        <w:spacing w:lineRule="auto" w:line="480"/>
        <w:jc w:val="both"/>
        <w:rPr/>
      </w:pPr>
      <w:r>
        <w:rPr/>
        <w:t xml:space="preserve">Furthermore, if the Army is permitted to award the contract to an entity other than BGE </w:t>
        <w:br/>
        <w:t>-- and to immediately convey ownership of Fort Meade’s electric distribution system to the contract awardee</w:t>
      </w:r>
      <w:r>
        <w:rPr>
          <w:rStyle w:val="FootnoteCharacters"/>
          <w:rStyle w:val="FootnoteReference"/>
        </w:rPr>
        <w:footnoteReference w:id="15"/>
      </w:r>
      <w:r>
        <w:rPr/>
        <w:t xml:space="preserve"> -- then there will be no way to compel the awardee to transfer the property back to the Government or to BGE, in the event BGE prevails on the merits before this Court.  The solicitation provides that ownership of the utility distribution system will revert to the Government, in the event of a contract termination for default.  In addition, it allows the Government the “Right of First Offer” to purchase the utility distribution system from the contractor, if the contractor wishes to sell the system to a third party.  The solicitation does not, however, require the contractor to transfer the utility distribution systems to the Army, in the event the utility distribution services contract is terminated for the Government’s convenience. </w:t>
      </w:r>
      <w:r>
        <w:rPr>
          <w:i/>
        </w:rPr>
        <w:t xml:space="preserve"> Id.,</w:t>
      </w:r>
      <w:r>
        <w:rPr/>
        <w:t xml:space="preserve"> ¶ 47.</w:t>
      </w:r>
    </w:p>
    <w:p>
      <w:pPr>
        <w:pStyle w:val="bodytext1"/>
        <w:spacing w:lineRule="auto" w:line="480"/>
        <w:jc w:val="both"/>
        <w:rPr/>
      </w:pPr>
      <w:r>
        <w:rPr/>
        <w:t xml:space="preserve">Thus, unless an injunction is granted:  (a) the Army may award the Fort Meade utility privatization contract to an offeror other than BGE; (b) BGE may prevail on the merits of the case; (c) the Court may order the Army to terminate for convenience the awarded utility distribution services contract; and (d) the awardee would not be compelled to return ownership of the Fort Meade utility distribution systems to the Government or to transfer ownership to BGE.  Therefore, if the Court does not grant BGE injunctive relief, the company will be left without an adequate remedy at law.  </w:t>
      </w:r>
      <w:r>
        <w:rPr>
          <w:i/>
        </w:rPr>
        <w:t>See Blackwelder Furniture Company of Statesville, Inc. v. Seilig Manufacturing Company, Inc.,</w:t>
      </w:r>
      <w:r>
        <w:rPr/>
        <w:t xml:space="preserve"> 550 F.2d 189, 195 (4</w:t>
      </w:r>
      <w:r>
        <w:rPr>
          <w:vertAlign w:val="superscript"/>
        </w:rPr>
        <w:t>th</w:t>
      </w:r>
      <w:r>
        <w:rPr/>
        <w:t xml:space="preserve"> Cir. 1977) (controlling reason for injunction is to prevent a change in the relations and conditions of persons and property that may result in irremediable injury before claims can be investigated and adjudicated).</w:t>
      </w:r>
    </w:p>
    <w:p>
      <w:pPr>
        <w:pStyle w:val="Normal"/>
        <w:ind w:hanging="720" w:start="1440" w:end="0"/>
        <w:jc w:val="both"/>
        <w:rPr>
          <w:b/>
        </w:rPr>
      </w:pPr>
      <w:r>
        <w:rPr>
          <w:b/>
        </w:rPr>
      </w:r>
    </w:p>
    <w:p>
      <w:pPr>
        <w:pStyle w:val="Normal"/>
        <w:numPr>
          <w:ilvl w:val="0"/>
          <w:numId w:val="0"/>
        </w:numPr>
        <w:ind w:hanging="720" w:start="1440" w:end="0"/>
        <w:jc w:val="both"/>
        <w:outlineLvl w:val="0"/>
        <w:rPr>
          <w:b/>
        </w:rPr>
      </w:pPr>
      <w:r>
        <w:rPr>
          <w:b/>
        </w:rPr>
        <w:t>III.</w:t>
        <w:tab/>
      </w:r>
      <w:r>
        <w:rPr>
          <w:b/>
          <w:i/>
          <w:u w:val="single"/>
        </w:rPr>
        <w:t>The Irreparable Harm To BGE Outweighs The Harm To Defendant.</w:t>
      </w:r>
      <w:r>
        <w:fldChar w:fldCharType="begin"/>
      </w:r>
      <w:r>
        <w:rPr/>
        <w:instrText xml:space="preserve"> TC "III.</w:instrText>
        <w:tab/>
        <w:instrText xml:space="preserve">The Irreparable Harm To BGE Outweighs The Harm To Defendant." \l 2 </w:instrText>
      </w:r>
      <w:r>
        <w:rPr/>
        <w:fldChar w:fldCharType="separate"/>
      </w:r>
      <w:r>
        <w:rPr/>
      </w:r>
      <w:r>
        <w:rPr/>
        <w:fldChar w:fldCharType="end"/>
      </w:r>
    </w:p>
    <w:p>
      <w:pPr>
        <w:pStyle w:val="bodytext1"/>
        <w:spacing w:lineRule="auto" w:line="480"/>
        <w:jc w:val="both"/>
        <w:rPr/>
      </w:pPr>
      <w:r>
        <w:rPr/>
        <w:t xml:space="preserve">While the Defendant may be required to delay award of the privatization contract for Fort Meade, this administrative inconvenience does not amount to significant irreparable harm to the Government.  BGE understands that the Army plans to award the privatization contract(s) for the various military installations (including Fort Meade) in the First Quarter of 2001.  </w:t>
      </w:r>
      <w:r>
        <w:rPr>
          <w:i/>
        </w:rPr>
        <w:t>See</w:t>
      </w:r>
      <w:r>
        <w:rPr/>
        <w:t xml:space="preserve"> Complaint, ¶ 54.</w:t>
      </w:r>
      <w:r>
        <w:rPr>
          <w:rStyle w:val="FootnoteCharacters"/>
          <w:rStyle w:val="FootnoteReference"/>
        </w:rPr>
        <w:footnoteReference w:id="16"/>
      </w:r>
      <w:r>
        <w:rPr/>
        <w:t xml:space="preserve">  In the event the Court denies BGE’s claim for declaratory judgment and permanent injunctive relief, the Army’s schedule for contract award probably will not be disturbed at all.</w:t>
      </w:r>
    </w:p>
    <w:p>
      <w:pPr>
        <w:pStyle w:val="bodytext1"/>
        <w:spacing w:lineRule="auto" w:line="480"/>
        <w:jc w:val="both"/>
        <w:rPr/>
      </w:pPr>
      <w:r>
        <w:rPr/>
        <w:t>In addition, a preliminary injunction will benefit the Government, in the event the Court ultimately finds for BGE on the merits of its Complaint, and declares the Solicitation to be illegal.  As discussed above, unless an injunction is issued by the Court:  (a) the Army may award the Fort Meade utility privatization contract to an offeror other than BGE; (b) BGE may prevail on the merits of the case; (c) the Court may order the Army to terminate for convenience the awarded utility distribution services contract; and (d) the awardee would not be compelled to return ownership of the Fort Meade utility distribution systems to the Government or to transfer ownership to BGE.  This would leave Fort Meade without utility services.  Thus, on balance, Defendant’s potential harm pales in comparison to the injury facing BGE if the Court does not grant a preliminary injunction.</w:t>
      </w:r>
    </w:p>
    <w:p>
      <w:pPr>
        <w:pStyle w:val="Normal"/>
        <w:ind w:start="720" w:end="0"/>
        <w:jc w:val="both"/>
        <w:rPr>
          <w:b/>
        </w:rPr>
      </w:pPr>
      <w:r>
        <w:rPr>
          <w:b/>
        </w:rPr>
      </w:r>
    </w:p>
    <w:p>
      <w:pPr>
        <w:pStyle w:val="Normal"/>
        <w:numPr>
          <w:ilvl w:val="0"/>
          <w:numId w:val="0"/>
        </w:numPr>
        <w:ind w:start="720" w:end="0"/>
        <w:jc w:val="both"/>
        <w:outlineLvl w:val="0"/>
        <w:rPr>
          <w:b/>
          <w:i/>
          <w:i/>
          <w:u w:val="single"/>
        </w:rPr>
      </w:pPr>
      <w:r>
        <w:rPr>
          <w:b/>
        </w:rPr>
        <w:t>IV.</w:t>
        <w:tab/>
      </w:r>
      <w:r>
        <w:rPr>
          <w:b/>
          <w:i/>
          <w:u w:val="single"/>
        </w:rPr>
        <w:t>Granting Injunctive Relief Will Serve The Public Interest.</w:t>
      </w:r>
      <w:r>
        <w:fldChar w:fldCharType="begin"/>
      </w:r>
      <w:r>
        <w:rPr/>
        <w:instrText xml:space="preserve"> TC "IV.</w:instrText>
        <w:tab/>
        <w:instrText xml:space="preserve">Granting Injunctive Relief Will Serve The Public Interest." \l 2 </w:instrText>
      </w:r>
      <w:r>
        <w:rPr/>
        <w:fldChar w:fldCharType="separate"/>
      </w:r>
      <w:r>
        <w:rPr/>
      </w:r>
      <w:r>
        <w:rPr/>
        <w:fldChar w:fldCharType="end"/>
      </w:r>
    </w:p>
    <w:p>
      <w:pPr>
        <w:pStyle w:val="bodytext1"/>
        <w:spacing w:lineRule="auto" w:line="480"/>
        <w:jc w:val="both"/>
        <w:rPr/>
      </w:pPr>
      <w:r>
        <w:rPr/>
        <w:t xml:space="preserve">The public interest is served when the </w:t>
      </w:r>
      <w:r>
        <w:rPr>
          <w:i/>
        </w:rPr>
        <w:t>status quo</w:t>
      </w:r>
      <w:r>
        <w:rPr/>
        <w:t xml:space="preserve"> can be preserved “until the merits of a serious controversy can be fully considered by a trial court.”  </w:t>
      </w:r>
      <w:r>
        <w:rPr>
          <w:i/>
        </w:rPr>
        <w:t>Blackwelder Furniture Company of Statesville, Inc., supra.,</w:t>
      </w:r>
      <w:r>
        <w:rPr/>
        <w:t xml:space="preserve"> 550 F.2d 197.  When the dispute involves the pending award of a Government contract, preservation of the </w:t>
      </w:r>
      <w:r>
        <w:rPr>
          <w:i/>
        </w:rPr>
        <w:t xml:space="preserve">status </w:t>
      </w:r>
      <w:r>
        <w:rPr/>
        <w:t xml:space="preserve">quo not only protects the rights of the parties to the controversy, it also avoids the disruption and added cost associated with terminating an improperly awarded Government contract.  </w:t>
      </w:r>
      <w:r>
        <w:rPr>
          <w:i/>
        </w:rPr>
        <w:t>See also Fort Sumter Tours, Inc. v. Andrus,</w:t>
      </w:r>
      <w:r>
        <w:rPr/>
        <w:t xml:space="preserve"> 564 F.2d 1119, 1124 (4</w:t>
      </w:r>
      <w:r>
        <w:rPr>
          <w:vertAlign w:val="superscript"/>
        </w:rPr>
        <w:t>th</w:t>
      </w:r>
      <w:r>
        <w:rPr/>
        <w:t xml:space="preserve"> Cir. 1977) (better course is to resolve bid protest dispute prior to execution of new Government contract).</w:t>
      </w:r>
    </w:p>
    <w:p>
      <w:pPr>
        <w:pStyle w:val="bodytext1"/>
        <w:spacing w:lineRule="auto" w:line="480"/>
        <w:jc w:val="both"/>
        <w:rPr/>
      </w:pPr>
      <w:r>
        <w:rPr/>
        <w:t xml:space="preserve">Moreover, the public interest “is further enhanced where  .  .  .  the private controversy may possibly vindicate public policy.”  </w:t>
      </w:r>
      <w:r>
        <w:rPr>
          <w:i/>
        </w:rPr>
        <w:t>Id.</w:t>
      </w:r>
      <w:r>
        <w:rPr/>
        <w:t xml:space="preserve"> (“Private actions are an important means of enforcing federal antitrust policies.”).  </w:t>
      </w:r>
      <w:r>
        <w:rPr>
          <w:i/>
        </w:rPr>
        <w:t>See also United States, ex. rel., Taxpayers Against Fraud v. Link Flight Simulation Corporation,</w:t>
      </w:r>
      <w:r>
        <w:rPr/>
        <w:t xml:space="preserve"> 722 F. Supp. 1248, 1253 (D. Md. 1989) (public interest served by redressing fraud in government contracting).  More particularly, the public has an interest in assuring that agency officials comply with applicable statutes and regulations when awarding Government contracts.  </w:t>
      </w:r>
      <w:r>
        <w:rPr>
          <w:i/>
        </w:rPr>
        <w:t>See, e.g., Express One International, Inc. v. United States Postal Service,</w:t>
      </w:r>
      <w:r>
        <w:rPr/>
        <w:t xml:space="preserve"> 814 F. Supp. 87, 92 (D.D.C. 1992); </w:t>
      </w:r>
      <w:r>
        <w:rPr>
          <w:i/>
        </w:rPr>
        <w:t>Collins &amp; Co., General Contractors, Inc. v. Claytor,</w:t>
      </w:r>
      <w:r>
        <w:rPr/>
        <w:t xml:space="preserve"> 476 F. Supp. 407, 411 (N.D. Ga. 1979).</w:t>
      </w:r>
    </w:p>
    <w:p>
      <w:pPr>
        <w:pStyle w:val="bodytext1"/>
        <w:spacing w:lineRule="auto" w:line="480"/>
        <w:jc w:val="both"/>
        <w:rPr/>
      </w:pPr>
      <w:r>
        <w:rPr/>
        <w:t>Consistent with this Fourth Circuit precedent, granting BGE injunctive relief will serve the public interest.  The Army’s privatization solicitation is inconsistent with Maryland law governing utility services and public service companies.  Unless enjoined, the Army’s actions will violate federal procurement statutes, regulations and directives, as well as the United States Constitution.  The public interest in the integrity of the federal procurement process, along with the legitimate interests of the State of Maryland to regulate utility services within its borders, will benefit from a careful adjudication of the merits of BGE’s case before allowing the Army to proceed with the solicitation for utility privatization.</w:t>
      </w:r>
      <w:r>
        <w:rPr>
          <w:i/>
        </w:rPr>
        <w:t xml:space="preserve">  </w:t>
      </w:r>
      <w:r>
        <w:rPr/>
        <w:t>Moreover, by enjoining the Army’s award decision, the Court will ensure that Government and contractor funds are not wasted as a result of a subsequent termination of the contract, in the event Plaintiff prevails on the merits of its claims.  Accordingly, this motion for preliminary injunction should be granted.</w:t>
      </w:r>
    </w:p>
    <w:p>
      <w:pPr>
        <w:pStyle w:val="Normal"/>
        <w:jc w:val="center"/>
        <w:rPr>
          <w:rFonts w:ascii="Arial" w:hAnsi="Arial" w:cs="Arial"/>
          <w:b/>
        </w:rPr>
      </w:pPr>
      <w:r>
        <w:rPr>
          <w:rFonts w:cs="Arial" w:ascii="Arial" w:hAnsi="Arial"/>
          <w:b/>
        </w:rPr>
      </w:r>
    </w:p>
    <w:p>
      <w:pPr>
        <w:pStyle w:val="Normal"/>
        <w:numPr>
          <w:ilvl w:val="0"/>
          <w:numId w:val="0"/>
        </w:numPr>
        <w:jc w:val="center"/>
        <w:outlineLvl w:val="0"/>
        <w:rPr>
          <w:rFonts w:ascii="Arial" w:hAnsi="Arial" w:cs="Arial"/>
          <w:b/>
        </w:rPr>
      </w:pPr>
      <w:r>
        <w:rPr>
          <w:rFonts w:cs="Arial" w:ascii="Arial" w:hAnsi="Arial"/>
          <w:b/>
        </w:rPr>
        <w:t>CONCLUSION</w:t>
      </w:r>
      <w:r>
        <w:fldChar w:fldCharType="begin"/>
      </w:r>
      <w:r>
        <w:rPr/>
        <w:instrText xml:space="preserve"> TC "CONCLUSION" \l 1 </w:instrText>
      </w:r>
      <w:r>
        <w:rPr/>
        <w:fldChar w:fldCharType="separate"/>
      </w:r>
      <w:r>
        <w:rPr/>
      </w:r>
      <w:r>
        <w:rPr/>
        <w:fldChar w:fldCharType="end"/>
      </w:r>
    </w:p>
    <w:p>
      <w:pPr>
        <w:pStyle w:val="bodytext1"/>
        <w:spacing w:lineRule="auto" w:line="480"/>
        <w:jc w:val="both"/>
        <w:rPr/>
      </w:pPr>
      <w:r>
        <w:rPr/>
        <w:t>Plaintiff BGE has presented serious questions regarding the legality of the Army’s privatization solicitation, has demonstrated a likelihood of prevailing on the merits of its claims, and has shown that it will sustain irreparable harm if the requested preliminary injunction is not granted.  In addition, the balance of harms clearly favors BGE.  Indeed, the requested preliminary injunction also will benefit the Government and the public interest.  Under these circumstances, and for the reasons discussed above, the Court should grant Plaintiff’s motion for preliminary injunction.</w:t>
      </w:r>
      <w:r>
        <w:br w:type="page"/>
      </w:r>
    </w:p>
    <w:p>
      <w:pPr>
        <w:pStyle w:val="Normal"/>
        <w:spacing w:lineRule="auto" w:line="480"/>
        <w:jc w:val="both"/>
        <w:rPr/>
      </w:pPr>
      <w:r>
        <w:rPr/>
        <w:tab/>
        <w:tab/>
        <w:tab/>
        <w:tab/>
        <w:tab/>
        <w:tab/>
        <w:t>Respectfully submitted,</w:t>
      </w:r>
    </w:p>
    <w:p>
      <w:pPr>
        <w:pStyle w:val="Normal"/>
        <w:spacing w:lineRule="auto" w:line="480"/>
        <w:jc w:val="both"/>
        <w:rPr/>
      </w:pPr>
      <w:r>
        <w:rPr/>
      </w:r>
    </w:p>
    <w:p>
      <w:pPr>
        <w:pStyle w:val="Normal"/>
        <w:jc w:val="both"/>
        <w:rPr/>
      </w:pPr>
      <w:r>
        <w:rPr/>
        <w:tab/>
        <w:tab/>
        <w:tab/>
        <w:tab/>
        <w:tab/>
        <w:tab/>
        <w:t>_________________________________________</w:t>
        <w:tab/>
        <w:tab/>
        <w:tab/>
        <w:tab/>
        <w:tab/>
        <w:tab/>
        <w:tab/>
        <w:t>Kevin P. Mullen</w:t>
      </w:r>
    </w:p>
    <w:p>
      <w:pPr>
        <w:pStyle w:val="Normal"/>
        <w:jc w:val="both"/>
        <w:rPr/>
      </w:pPr>
      <w:r>
        <w:rPr/>
        <w:tab/>
        <w:tab/>
        <w:tab/>
        <w:tab/>
        <w:tab/>
        <w:tab/>
        <w:t>Bar No. 26216</w:t>
      </w:r>
    </w:p>
    <w:p>
      <w:pPr>
        <w:pStyle w:val="Normal"/>
        <w:jc w:val="both"/>
        <w:rPr/>
      </w:pPr>
      <w:r>
        <w:rPr/>
        <w:tab/>
        <w:tab/>
        <w:tab/>
        <w:tab/>
        <w:tab/>
        <w:tab/>
        <w:t>PIPER MARBURY RUDNICK &amp; WOLFE LLP</w:t>
      </w:r>
    </w:p>
    <w:p>
      <w:pPr>
        <w:pStyle w:val="Normal"/>
        <w:jc w:val="both"/>
        <w:rPr/>
      </w:pPr>
      <w:r>
        <w:rPr/>
        <w:tab/>
        <w:tab/>
        <w:tab/>
        <w:tab/>
        <w:tab/>
        <w:tab/>
        <w:t>1200 Nineteenth Street, N.W.</w:t>
      </w:r>
    </w:p>
    <w:p>
      <w:pPr>
        <w:pStyle w:val="Normal"/>
        <w:jc w:val="both"/>
        <w:rPr/>
      </w:pPr>
      <w:r>
        <w:rPr/>
        <w:tab/>
        <w:tab/>
        <w:tab/>
        <w:tab/>
        <w:tab/>
        <w:tab/>
        <w:t>Washington, D.C.  20036</w:t>
      </w:r>
    </w:p>
    <w:p>
      <w:pPr>
        <w:pStyle w:val="Normal"/>
        <w:jc w:val="both"/>
        <w:rPr/>
      </w:pPr>
      <w:r>
        <w:rPr/>
        <w:tab/>
        <w:tab/>
        <w:tab/>
        <w:tab/>
        <w:tab/>
        <w:tab/>
        <w:t>TEL:</w:t>
        <w:tab/>
        <w:t>(202) 861-3900</w:t>
      </w:r>
    </w:p>
    <w:p>
      <w:pPr>
        <w:pStyle w:val="Normal"/>
        <w:jc w:val="both"/>
        <w:rPr/>
      </w:pPr>
      <w:r>
        <w:rPr/>
        <w:tab/>
        <w:tab/>
        <w:tab/>
        <w:tab/>
        <w:tab/>
        <w:tab/>
        <w:t>FAX:</w:t>
        <w:tab/>
        <w:t>(202) 223-2085</w:t>
      </w:r>
    </w:p>
    <w:p>
      <w:pPr>
        <w:pStyle w:val="Normal"/>
        <w:jc w:val="both"/>
        <w:rPr/>
      </w:pPr>
      <w:r>
        <w:rPr/>
        <w:tab/>
        <w:tab/>
        <w:tab/>
        <w:tab/>
        <w:tab/>
        <w:tab/>
      </w:r>
    </w:p>
    <w:p>
      <w:pPr>
        <w:pStyle w:val="Normal"/>
        <w:jc w:val="both"/>
        <w:rPr/>
      </w:pPr>
      <w:r>
        <w:rPr/>
        <w:tab/>
        <w:tab/>
        <w:tab/>
        <w:tab/>
        <w:tab/>
        <w:tab/>
        <w:t>Attorney for Plaintiff,</w:t>
      </w:r>
    </w:p>
    <w:p>
      <w:pPr>
        <w:pStyle w:val="Normal"/>
        <w:jc w:val="both"/>
        <w:rPr/>
      </w:pPr>
      <w:r>
        <w:rPr/>
        <w:tab/>
        <w:tab/>
        <w:tab/>
        <w:tab/>
        <w:tab/>
        <w:tab/>
        <w:t>BALTIMORE GAS AND ELECTRIC COMPANY</w:t>
      </w:r>
    </w:p>
    <w:p>
      <w:pPr>
        <w:pStyle w:val="Normal"/>
        <w:numPr>
          <w:ilvl w:val="0"/>
          <w:numId w:val="0"/>
        </w:numPr>
        <w:jc w:val="both"/>
        <w:outlineLvl w:val="0"/>
        <w:rPr/>
      </w:pPr>
      <w:r>
        <w:rPr/>
      </w:r>
    </w:p>
    <w:p>
      <w:pPr>
        <w:pStyle w:val="Normal"/>
        <w:numPr>
          <w:ilvl w:val="0"/>
          <w:numId w:val="0"/>
        </w:numPr>
        <w:jc w:val="both"/>
        <w:outlineLvl w:val="0"/>
        <w:rPr/>
      </w:pPr>
      <w:r>
        <w:rPr/>
      </w:r>
    </w:p>
    <w:p>
      <w:pPr>
        <w:pStyle w:val="Normal"/>
        <w:numPr>
          <w:ilvl w:val="0"/>
          <w:numId w:val="0"/>
        </w:numPr>
        <w:jc w:val="both"/>
        <w:outlineLvl w:val="0"/>
        <w:rPr>
          <w:u w:val="single"/>
        </w:rPr>
      </w:pPr>
      <w:r>
        <w:rPr>
          <w:u w:val="single"/>
        </w:rPr>
        <w:t>Of Counsel:</w:t>
      </w:r>
    </w:p>
    <w:p>
      <w:pPr>
        <w:pStyle w:val="Normal"/>
        <w:jc w:val="both"/>
        <w:rPr/>
      </w:pPr>
      <w:r>
        <w:rPr/>
      </w:r>
    </w:p>
    <w:p>
      <w:pPr>
        <w:pStyle w:val="Normal"/>
        <w:numPr>
          <w:ilvl w:val="0"/>
          <w:numId w:val="0"/>
        </w:numPr>
        <w:jc w:val="both"/>
        <w:outlineLvl w:val="0"/>
        <w:rPr/>
      </w:pPr>
      <w:r>
        <w:rPr/>
        <w:t>Carl L. Vacketta</w:t>
      </w:r>
    </w:p>
    <w:p>
      <w:pPr>
        <w:pStyle w:val="Normal"/>
        <w:jc w:val="both"/>
        <w:rPr/>
      </w:pPr>
      <w:r>
        <w:rPr/>
        <w:t>Andrew M. Price</w:t>
      </w:r>
    </w:p>
    <w:p>
      <w:pPr>
        <w:pStyle w:val="Normal"/>
        <w:jc w:val="both"/>
        <w:rPr/>
      </w:pPr>
      <w:r>
        <w:rPr/>
        <w:t>PIPER MARBURY RUDNICK &amp; WOLFE LLP</w:t>
      </w:r>
    </w:p>
    <w:p>
      <w:pPr>
        <w:pStyle w:val="Normal"/>
        <w:jc w:val="both"/>
        <w:rPr/>
      </w:pPr>
      <w:r>
        <w:rPr/>
        <w:t>1200 Nineteenth Street, N.W.</w:t>
      </w:r>
    </w:p>
    <w:p>
      <w:pPr>
        <w:pStyle w:val="Normal"/>
        <w:jc w:val="both"/>
        <w:rPr/>
      </w:pPr>
      <w:r>
        <w:rPr/>
        <w:t>Washington, D.C.  20036</w:t>
      </w:r>
    </w:p>
    <w:p>
      <w:pPr>
        <w:pStyle w:val="Normal"/>
        <w:jc w:val="both"/>
        <w:rPr/>
      </w:pPr>
      <w:r>
        <w:rPr/>
        <w:t>TEL:</w:t>
        <w:tab/>
        <w:t>(202) 861-3900</w:t>
      </w:r>
    </w:p>
    <w:p>
      <w:pPr>
        <w:pStyle w:val="Normal"/>
        <w:jc w:val="both"/>
        <w:rPr/>
      </w:pPr>
      <w:r>
        <w:rPr/>
        <w:t>FAX:</w:t>
        <w:tab/>
        <w:t>(202) 223-2085</w:t>
      </w:r>
    </w:p>
    <w:p>
      <w:pPr>
        <w:pStyle w:val="Normal"/>
        <w:jc w:val="both"/>
        <w:rPr/>
      </w:pPr>
      <w:r>
        <w:rPr/>
      </w:r>
    </w:p>
    <w:p>
      <w:pPr>
        <w:pStyle w:val="Normal"/>
        <w:numPr>
          <w:ilvl w:val="0"/>
          <w:numId w:val="0"/>
        </w:numPr>
        <w:jc w:val="both"/>
        <w:outlineLvl w:val="0"/>
        <w:rPr/>
      </w:pPr>
      <w:r>
        <w:rPr/>
        <w:t>Richard A. Ransom</w:t>
      </w:r>
    </w:p>
    <w:p>
      <w:pPr>
        <w:pStyle w:val="Normal"/>
        <w:jc w:val="both"/>
        <w:rPr/>
      </w:pPr>
      <w:r>
        <w:rPr/>
        <w:t>BALTIMORE GAS AND ELECTRIC COMPANY</w:t>
      </w:r>
    </w:p>
    <w:p>
      <w:pPr>
        <w:pStyle w:val="Normal"/>
        <w:jc w:val="both"/>
        <w:rPr/>
      </w:pPr>
      <w:r>
        <w:rPr/>
        <w:t>39 West Lexington Street</w:t>
      </w:r>
    </w:p>
    <w:p>
      <w:pPr>
        <w:pStyle w:val="Normal"/>
        <w:jc w:val="both"/>
        <w:rPr/>
      </w:pPr>
      <w:r>
        <w:rPr/>
        <w:t>Baltimore, Maryland  21201</w:t>
      </w:r>
    </w:p>
    <w:p>
      <w:pPr>
        <w:pStyle w:val="Normal"/>
        <w:jc w:val="both"/>
        <w:rPr/>
      </w:pPr>
      <w:r>
        <w:rPr/>
        <w:t>TEL:</w:t>
        <w:tab/>
        <w:t>(410) 234-6801</w:t>
      </w:r>
    </w:p>
    <w:p>
      <w:pPr>
        <w:pStyle w:val="Normal"/>
        <w:jc w:val="both"/>
        <w:rPr/>
      </w:pPr>
      <w:r>
        <w:rPr/>
        <w:t>FAX:</w:t>
        <w:tab/>
        <w:t>(410) 234-7025</w:t>
      </w:r>
    </w:p>
    <w:p>
      <w:pPr>
        <w:pStyle w:val="Normal"/>
        <w:jc w:val="both"/>
        <w:rPr/>
      </w:pPr>
      <w:r>
        <w:rPr/>
      </w:r>
    </w:p>
    <w:p>
      <w:pPr>
        <w:pStyle w:val="Normal"/>
        <w:jc w:val="both"/>
        <w:rPr/>
      </w:pPr>
      <w:r>
        <w:rPr/>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872"/>
          <w:pgNumType w:start="1" w:fmt="decimal"/>
          <w:formProt w:val="false"/>
          <w:titlePg/>
          <w:textDirection w:val="lrTb"/>
          <w:docGrid w:type="default" w:linePitch="360" w:charSpace="0"/>
        </w:sectPr>
        <w:pStyle w:val="Normal"/>
        <w:jc w:val="both"/>
        <w:rPr/>
      </w:pPr>
      <w:r>
        <w:rPr/>
        <w:t>Dated:</w:t>
        <w:tab/>
        <w:t>August 28, 2000</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872"/>
          <w:pgNumType w:fmt="lowerRoman"/>
          <w:formProt w:val="false"/>
          <w:textDirection w:val="lrTb"/>
          <w:docGrid w:type="default" w:linePitch="360" w:charSpace="0"/>
        </w:sectPr>
        <w:pStyle w:val="Normal"/>
        <w:numPr>
          <w:ilvl w:val="0"/>
          <w:numId w:val="0"/>
        </w:numPr>
        <w:rPr>
          <w:b/>
        </w:rPr>
      </w:pPr>
      <w:r>
        <w:rPr>
          <w:b/>
        </w:rPr>
      </w:r>
    </w:p>
    <w:p>
      <w:pPr>
        <w:pStyle w:val="Normal"/>
        <w:numPr>
          <w:ilvl w:val="0"/>
          <w:numId w:val="0"/>
        </w:numPr>
        <w:jc w:val="center"/>
        <w:outlineLvl w:val="0"/>
        <w:rPr>
          <w:rFonts w:ascii="Arial" w:hAnsi="Arial" w:cs="Arial"/>
          <w:b/>
        </w:rPr>
      </w:pPr>
      <w:r>
        <w:rPr>
          <w:rFonts w:cs="Arial" w:ascii="Arial" w:hAnsi="Arial"/>
          <w:b/>
        </w:rPr>
        <w:t>UNITED STATES DISTRICT COURT</w:t>
      </w:r>
    </w:p>
    <w:p>
      <w:pPr>
        <w:pStyle w:val="Normal"/>
        <w:numPr>
          <w:ilvl w:val="0"/>
          <w:numId w:val="0"/>
        </w:numPr>
        <w:jc w:val="center"/>
        <w:outlineLvl w:val="0"/>
        <w:rPr>
          <w:rFonts w:ascii="Arial" w:hAnsi="Arial" w:cs="Arial"/>
          <w:b/>
        </w:rPr>
      </w:pPr>
      <w:r>
        <w:rPr>
          <w:rFonts w:cs="Arial" w:ascii="Arial" w:hAnsi="Arial"/>
          <w:b/>
        </w:rPr>
        <w:t>DISTRICT OF MARYLAND</w:t>
      </w:r>
    </w:p>
    <w:p>
      <w:pPr>
        <w:pStyle w:val="Normal"/>
        <w:jc w:val="center"/>
        <w:rPr>
          <w:rFonts w:ascii="Arial" w:hAnsi="Arial" w:cs="Arial"/>
          <w:b/>
        </w:rPr>
      </w:pPr>
      <w:r>
        <w:rPr>
          <w:rFonts w:cs="Arial" w:ascii="Arial" w:hAnsi="Arial"/>
          <w:b/>
        </w:rPr>
      </w:r>
    </w:p>
    <w:p>
      <w:pPr>
        <w:pStyle w:val="Normal"/>
        <w:rPr>
          <w:b/>
          <w:u w:val="single"/>
        </w:rPr>
      </w:pPr>
      <w:r>
        <w:rPr>
          <w:b/>
          <w:u w:val="single"/>
        </w:rPr>
        <w:tab/>
        <w:tab/>
        <w:tab/>
        <w:tab/>
        <w:tab/>
        <w:tab/>
        <w:tab/>
        <w:tab/>
      </w:r>
    </w:p>
    <w:p>
      <w:pPr>
        <w:pStyle w:val="Normal"/>
        <w:rPr>
          <w:b/>
        </w:rPr>
      </w:pPr>
      <w:r>
        <w:rPr>
          <w:b/>
        </w:rPr>
        <w:tab/>
        <w:tab/>
        <w:tab/>
        <w:tab/>
        <w:tab/>
        <w:tab/>
        <w:tab/>
        <w:tab/>
        <w:t>)</w:t>
      </w:r>
    </w:p>
    <w:p>
      <w:pPr>
        <w:pStyle w:val="Normal"/>
        <w:rPr>
          <w:b/>
        </w:rPr>
      </w:pPr>
      <w:r>
        <w:rPr>
          <w:b/>
        </w:rPr>
        <w:t>BALTIMORE GAS AND ELECTRIC COMPANY,</w:t>
        <w:tab/>
        <w:t>)</w:t>
      </w:r>
    </w:p>
    <w:p>
      <w:pPr>
        <w:pStyle w:val="Normal"/>
        <w:rPr>
          <w:b/>
        </w:rPr>
      </w:pPr>
      <w:r>
        <w:rPr>
          <w:b/>
        </w:rPr>
        <w:tab/>
        <w:tab/>
        <w:tab/>
        <w:tab/>
        <w:tab/>
        <w:tab/>
        <w:tab/>
        <w:tab/>
        <w:t>)</w:t>
      </w:r>
    </w:p>
    <w:p>
      <w:pPr>
        <w:pStyle w:val="Normal"/>
        <w:rPr>
          <w:b/>
        </w:rPr>
      </w:pPr>
      <w:r>
        <w:rPr>
          <w:b/>
        </w:rPr>
        <w:tab/>
        <w:tab/>
        <w:tab/>
        <w:tab/>
        <w:tab/>
        <w:t>Plaintiff,</w:t>
        <w:tab/>
        <w:tab/>
        <w:t>)</w:t>
      </w:r>
    </w:p>
    <w:p>
      <w:pPr>
        <w:pStyle w:val="Normal"/>
        <w:rPr>
          <w:b/>
        </w:rPr>
      </w:pPr>
      <w:r>
        <w:rPr>
          <w:b/>
        </w:rPr>
        <w:tab/>
        <w:tab/>
        <w:tab/>
        <w:tab/>
        <w:tab/>
        <w:tab/>
        <w:tab/>
        <w:tab/>
        <w:t>)</w:t>
      </w:r>
    </w:p>
    <w:p>
      <w:pPr>
        <w:pStyle w:val="Normal"/>
        <w:rPr>
          <w:b/>
        </w:rPr>
      </w:pPr>
      <w:r>
        <w:rPr>
          <w:b/>
        </w:rPr>
        <w:tab/>
        <w:tab/>
        <w:t>v.</w:t>
        <w:tab/>
        <w:tab/>
        <w:tab/>
        <w:tab/>
        <w:tab/>
        <w:tab/>
        <w:t>)</w:t>
        <w:tab/>
        <w:t>Civil Action No.  _________</w:t>
      </w:r>
    </w:p>
    <w:p>
      <w:pPr>
        <w:pStyle w:val="Normal"/>
        <w:rPr>
          <w:b/>
        </w:rPr>
      </w:pPr>
      <w:r>
        <w:rPr>
          <w:b/>
        </w:rPr>
        <w:tab/>
        <w:tab/>
        <w:tab/>
        <w:tab/>
        <w:tab/>
        <w:tab/>
        <w:tab/>
        <w:tab/>
        <w:t>)</w:t>
      </w:r>
    </w:p>
    <w:p>
      <w:pPr>
        <w:pStyle w:val="Normal"/>
        <w:rPr>
          <w:b/>
        </w:rPr>
      </w:pPr>
      <w:r>
        <w:rPr>
          <w:b/>
        </w:rPr>
        <w:t>THE UNITED STATES</w:t>
        <w:tab/>
        <w:tab/>
        <w:tab/>
        <w:tab/>
        <w:tab/>
        <w:t>)</w:t>
      </w:r>
    </w:p>
    <w:p>
      <w:pPr>
        <w:pStyle w:val="Normal"/>
        <w:rPr>
          <w:b/>
        </w:rPr>
      </w:pPr>
      <w:r>
        <w:rPr>
          <w:b/>
        </w:rPr>
        <w:tab/>
        <w:tab/>
        <w:tab/>
        <w:tab/>
        <w:tab/>
        <w:tab/>
        <w:tab/>
        <w:tab/>
        <w:t>)</w:t>
      </w:r>
    </w:p>
    <w:p>
      <w:pPr>
        <w:pStyle w:val="Normal"/>
        <w:rPr>
          <w:b/>
        </w:rPr>
      </w:pPr>
      <w:r>
        <w:rPr>
          <w:b/>
        </w:rPr>
        <w:tab/>
        <w:tab/>
        <w:t>and</w:t>
        <w:tab/>
        <w:tab/>
        <w:tab/>
        <w:tab/>
        <w:tab/>
        <w:tab/>
        <w:t>)</w:t>
      </w:r>
    </w:p>
    <w:p>
      <w:pPr>
        <w:pStyle w:val="Normal"/>
        <w:rPr>
          <w:b/>
        </w:rPr>
      </w:pPr>
      <w:r>
        <w:rPr>
          <w:b/>
        </w:rPr>
        <w:tab/>
        <w:tab/>
        <w:tab/>
        <w:tab/>
        <w:tab/>
        <w:tab/>
        <w:tab/>
        <w:tab/>
        <w:t>)</w:t>
      </w:r>
    </w:p>
    <w:p>
      <w:pPr>
        <w:pStyle w:val="Normal"/>
        <w:rPr>
          <w:b/>
        </w:rPr>
      </w:pPr>
      <w:r>
        <w:rPr>
          <w:b/>
        </w:rPr>
        <w:t>LOUIS CALDERA,</w:t>
        <w:tab/>
        <w:tab/>
        <w:tab/>
        <w:tab/>
        <w:tab/>
        <w:tab/>
        <w:t>)</w:t>
      </w:r>
    </w:p>
    <w:p>
      <w:pPr>
        <w:pStyle w:val="Normal"/>
        <w:rPr>
          <w:b/>
        </w:rPr>
      </w:pPr>
      <w:r>
        <w:rPr>
          <w:b/>
        </w:rPr>
        <w:t>Secretary of the Army,</w:t>
        <w:tab/>
        <w:tab/>
        <w:tab/>
        <w:tab/>
        <w:tab/>
        <w:t>)</w:t>
      </w:r>
    </w:p>
    <w:p>
      <w:pPr>
        <w:pStyle w:val="Normal"/>
        <w:rPr>
          <w:b/>
        </w:rPr>
      </w:pPr>
      <w:r>
        <w:rPr>
          <w:b/>
        </w:rPr>
        <w:tab/>
        <w:tab/>
        <w:tab/>
        <w:tab/>
        <w:tab/>
        <w:tab/>
        <w:tab/>
        <w:tab/>
        <w:t>)</w:t>
      </w:r>
    </w:p>
    <w:p>
      <w:pPr>
        <w:pStyle w:val="Normal"/>
        <w:rPr>
          <w:b/>
        </w:rPr>
      </w:pPr>
      <w:r>
        <w:rPr>
          <w:b/>
        </w:rPr>
        <w:tab/>
        <w:tab/>
        <w:tab/>
        <w:tab/>
        <w:tab/>
        <w:t>Defendants.</w:t>
        <w:tab/>
        <w:tab/>
        <w:t>)</w:t>
      </w:r>
    </w:p>
    <w:p>
      <w:pPr>
        <w:pStyle w:val="Normal"/>
        <w:rPr>
          <w:b/>
          <w:u w:val="single"/>
        </w:rPr>
      </w:pPr>
      <w:r>
        <w:rPr>
          <w:b/>
          <w:u w:val="single"/>
        </w:rPr>
        <w:tab/>
        <w:tab/>
        <w:tab/>
        <w:tab/>
        <w:tab/>
        <w:tab/>
        <w:tab/>
        <w:tab/>
        <w:t>)</w:t>
      </w:r>
    </w:p>
    <w:p>
      <w:pPr>
        <w:pStyle w:val="Normal"/>
        <w:rPr>
          <w:b/>
          <w:u w:val="single"/>
        </w:rPr>
      </w:pPr>
      <w:r>
        <w:rPr>
          <w:b/>
          <w:u w:val="single"/>
        </w:rPr>
      </w:r>
    </w:p>
    <w:p>
      <w:pPr>
        <w:pStyle w:val="Normal"/>
        <w:rPr>
          <w:b/>
          <w:u w:val="single"/>
        </w:rPr>
      </w:pPr>
      <w:r>
        <w:rPr>
          <w:b/>
          <w:u w:val="single"/>
        </w:rPr>
      </w:r>
    </w:p>
    <w:p>
      <w:pPr>
        <w:pStyle w:val="Normal"/>
        <w:jc w:val="center"/>
        <w:rPr/>
      </w:pPr>
      <w:r>
        <w:rPr>
          <w:rFonts w:cs="Arial" w:ascii="Arial" w:hAnsi="Arial"/>
          <w:b/>
        </w:rPr>
        <w:t>MEMORANDUM IN SUPPORT OF</w:t>
        <w:br/>
      </w:r>
      <w:r>
        <w:rPr>
          <w:rFonts w:cs="Arial" w:ascii="Arial" w:hAnsi="Arial"/>
          <w:b/>
          <w:u w:val="single"/>
        </w:rPr>
        <w:t>PLAINTIFF’S MOTION FOR PRELIMINARY INJUNCTION</w:t>
      </w:r>
    </w:p>
    <w:p>
      <w:pPr>
        <w:pStyle w:val="Normal"/>
        <w:rPr>
          <w:rFonts w:ascii="Arial" w:hAnsi="Arial" w:cs="Arial"/>
          <w:b/>
          <w:u w:val="single"/>
        </w:rPr>
      </w:pPr>
      <w:r>
        <w:rPr>
          <w:rFonts w:cs="Arial" w:ascii="Arial" w:hAnsi="Arial"/>
          <w:b/>
          <w:u w:val="single"/>
        </w:rPr>
      </w:r>
    </w:p>
    <w:p>
      <w:pPr>
        <w:pStyle w:val="Normal"/>
        <w:numPr>
          <w:ilvl w:val="0"/>
          <w:numId w:val="0"/>
        </w:numPr>
        <w:tabs>
          <w:tab w:val="clear" w:pos="720"/>
          <w:tab w:val="left" w:pos="5670" w:leader="none"/>
          <w:tab w:val="left" w:pos="6480" w:leader="none"/>
        </w:tabs>
        <w:outlineLvl w:val="0"/>
        <w:rPr>
          <w:b/>
        </w:rPr>
      </w:pPr>
      <w:r>
        <w:rPr>
          <w:b/>
        </w:rPr>
      </w:r>
    </w:p>
    <w:p>
      <w:pPr>
        <w:pStyle w:val="Normal"/>
        <w:numPr>
          <w:ilvl w:val="0"/>
          <w:numId w:val="0"/>
        </w:numPr>
        <w:tabs>
          <w:tab w:val="clear" w:pos="720"/>
          <w:tab w:val="left" w:pos="5670" w:leader="none"/>
          <w:tab w:val="left" w:pos="6480" w:leader="none"/>
        </w:tabs>
        <w:outlineLvl w:val="0"/>
        <w:rPr/>
      </w:pPr>
      <w:r>
        <w:rPr/>
      </w:r>
    </w:p>
    <w:p>
      <w:pPr>
        <w:pStyle w:val="Normal"/>
        <w:numPr>
          <w:ilvl w:val="0"/>
          <w:numId w:val="0"/>
        </w:numPr>
        <w:tabs>
          <w:tab w:val="clear" w:pos="720"/>
          <w:tab w:val="left" w:pos="5670" w:leader="none"/>
          <w:tab w:val="left" w:pos="6480" w:leader="none"/>
        </w:tabs>
        <w:outlineLvl w:val="0"/>
        <w:rPr/>
      </w:pPr>
      <w:r>
        <w:rPr/>
      </w:r>
    </w:p>
    <w:p>
      <w:pPr>
        <w:pStyle w:val="Normal"/>
        <w:numPr>
          <w:ilvl w:val="0"/>
          <w:numId w:val="0"/>
        </w:numPr>
        <w:tabs>
          <w:tab w:val="clear" w:pos="720"/>
          <w:tab w:val="left" w:pos="5670" w:leader="none"/>
          <w:tab w:val="left" w:pos="6480" w:leader="none"/>
        </w:tabs>
        <w:outlineLvl w:val="0"/>
        <w:rPr/>
      </w:pPr>
      <w:r>
        <w:rPr/>
      </w:r>
    </w:p>
    <w:p>
      <w:pPr>
        <w:pStyle w:val="Normal"/>
        <w:numPr>
          <w:ilvl w:val="0"/>
          <w:numId w:val="0"/>
        </w:numPr>
        <w:tabs>
          <w:tab w:val="clear" w:pos="720"/>
          <w:tab w:val="left" w:pos="4320" w:leader="none"/>
          <w:tab w:val="left" w:pos="5670" w:leader="none"/>
          <w:tab w:val="left" w:pos="6480" w:leader="none"/>
        </w:tabs>
        <w:outlineLvl w:val="0"/>
        <w:rPr/>
      </w:pPr>
      <w:r>
        <w:rPr/>
        <w:tab/>
        <w:t>Kevin P. Mullen</w:t>
      </w:r>
    </w:p>
    <w:p>
      <w:pPr>
        <w:pStyle w:val="Normal"/>
        <w:numPr>
          <w:ilvl w:val="0"/>
          <w:numId w:val="0"/>
        </w:numPr>
        <w:tabs>
          <w:tab w:val="clear" w:pos="720"/>
          <w:tab w:val="left" w:pos="4320" w:leader="none"/>
          <w:tab w:val="left" w:pos="6480" w:leader="none"/>
        </w:tabs>
        <w:outlineLvl w:val="0"/>
        <w:rPr/>
      </w:pPr>
      <w:r>
        <w:rPr/>
        <w:tab/>
        <w:t>PIPER MARBURY RUDNICK &amp; WOLFE LLP</w:t>
      </w:r>
    </w:p>
    <w:p>
      <w:pPr>
        <w:pStyle w:val="Normal"/>
        <w:tabs>
          <w:tab w:val="clear" w:pos="720"/>
          <w:tab w:val="left" w:pos="4320" w:leader="none"/>
          <w:tab w:val="left" w:pos="5580" w:leader="none"/>
          <w:tab w:val="left" w:pos="6570" w:leader="none"/>
        </w:tabs>
        <w:rPr/>
      </w:pPr>
      <w:r>
        <w:rPr/>
        <w:tab/>
        <w:t>1200 Nineteenth Street, N.W.</w:t>
      </w:r>
    </w:p>
    <w:p>
      <w:pPr>
        <w:pStyle w:val="Normal"/>
        <w:tabs>
          <w:tab w:val="clear" w:pos="720"/>
          <w:tab w:val="left" w:pos="4320" w:leader="none"/>
          <w:tab w:val="left" w:pos="5580" w:leader="none"/>
          <w:tab w:val="left" w:pos="7110" w:leader="none"/>
        </w:tabs>
        <w:rPr/>
      </w:pPr>
      <w:r>
        <w:rPr/>
        <w:tab/>
        <w:t>Washington, D.C.  20036</w:t>
      </w:r>
    </w:p>
    <w:p>
      <w:pPr>
        <w:pStyle w:val="Normal"/>
        <w:tabs>
          <w:tab w:val="clear" w:pos="720"/>
          <w:tab w:val="left" w:pos="4320" w:leader="none"/>
          <w:tab w:val="left" w:pos="5580" w:leader="none"/>
          <w:tab w:val="left" w:pos="7110" w:leader="none"/>
        </w:tabs>
        <w:rPr/>
      </w:pPr>
      <w:r>
        <w:rPr/>
        <w:tab/>
        <w:t>TEL:  (202) 861-6414</w:t>
      </w:r>
    </w:p>
    <w:p>
      <w:pPr>
        <w:pStyle w:val="Normal"/>
        <w:tabs>
          <w:tab w:val="clear" w:pos="720"/>
          <w:tab w:val="left" w:pos="4320" w:leader="none"/>
          <w:tab w:val="left" w:pos="7110" w:leader="none"/>
        </w:tabs>
        <w:rPr/>
      </w:pPr>
      <w:r>
        <w:rPr/>
        <w:tab/>
        <w:t>FAX:  (202) 223-2085</w:t>
      </w:r>
    </w:p>
    <w:p>
      <w:pPr>
        <w:pStyle w:val="Normal"/>
        <w:tabs>
          <w:tab w:val="clear" w:pos="720"/>
          <w:tab w:val="left" w:pos="4320" w:leader="none"/>
          <w:tab w:val="left" w:pos="7110" w:leader="none"/>
        </w:tabs>
        <w:rPr/>
      </w:pPr>
      <w:r>
        <w:rPr/>
      </w:r>
    </w:p>
    <w:p>
      <w:pPr>
        <w:pStyle w:val="Normal"/>
        <w:tabs>
          <w:tab w:val="clear" w:pos="720"/>
          <w:tab w:val="left" w:pos="4320" w:leader="none"/>
          <w:tab w:val="left" w:pos="7110" w:leader="none"/>
        </w:tabs>
        <w:rPr/>
      </w:pPr>
      <w:r>
        <w:rPr/>
        <w:tab/>
      </w:r>
      <w:r>
        <w:rPr>
          <w:u w:val="single"/>
        </w:rPr>
        <w:t>Of Counsel</w:t>
      </w:r>
      <w:r>
        <w:rPr/>
        <w:t>:</w:t>
      </w:r>
    </w:p>
    <w:p>
      <w:pPr>
        <w:pStyle w:val="Normal"/>
        <w:tabs>
          <w:tab w:val="clear" w:pos="720"/>
          <w:tab w:val="left" w:pos="4320" w:leader="none"/>
          <w:tab w:val="left" w:pos="7110" w:leader="none"/>
        </w:tabs>
        <w:rPr/>
      </w:pPr>
      <w:r>
        <w:rPr/>
        <w:tab/>
        <w:t>Carl L. Vacketta</w:t>
      </w:r>
    </w:p>
    <w:p>
      <w:pPr>
        <w:pStyle w:val="Normal"/>
        <w:tabs>
          <w:tab w:val="clear" w:pos="720"/>
          <w:tab w:val="left" w:pos="4320" w:leader="none"/>
          <w:tab w:val="left" w:pos="7110" w:leader="none"/>
        </w:tabs>
        <w:rPr/>
      </w:pPr>
      <w:r>
        <w:rPr/>
        <w:tab/>
        <w:t>Andrew M. Price</w:t>
      </w:r>
    </w:p>
    <w:p>
      <w:pPr>
        <w:pStyle w:val="Normal"/>
        <w:tabs>
          <w:tab w:val="clear" w:pos="720"/>
          <w:tab w:val="left" w:pos="4320" w:leader="none"/>
          <w:tab w:val="left" w:pos="7110" w:leader="none"/>
        </w:tabs>
        <w:rPr/>
      </w:pPr>
      <w:r>
        <w:rPr/>
        <w:tab/>
        <w:t>PIPER MARBURY RUDNICK &amp; WOLFE LLP</w:t>
      </w:r>
    </w:p>
    <w:p>
      <w:pPr>
        <w:pStyle w:val="Normal"/>
        <w:tabs>
          <w:tab w:val="clear" w:pos="720"/>
          <w:tab w:val="left" w:pos="4320" w:leader="none"/>
          <w:tab w:val="left" w:pos="7110" w:leader="none"/>
        </w:tabs>
        <w:rPr/>
      </w:pPr>
      <w:r>
        <w:rPr/>
      </w:r>
    </w:p>
    <w:p>
      <w:pPr>
        <w:pStyle w:val="Normal"/>
        <w:tabs>
          <w:tab w:val="clear" w:pos="720"/>
          <w:tab w:val="left" w:pos="4320" w:leader="none"/>
          <w:tab w:val="left" w:pos="7110" w:leader="none"/>
        </w:tabs>
        <w:rPr/>
      </w:pPr>
      <w:r>
        <w:rPr/>
        <w:tab/>
        <w:t>Richard A. Ransom</w:t>
      </w:r>
    </w:p>
    <w:p>
      <w:pPr>
        <w:pStyle w:val="Normal"/>
        <w:tabs>
          <w:tab w:val="clear" w:pos="720"/>
          <w:tab w:val="left" w:pos="4320" w:leader="none"/>
          <w:tab w:val="left" w:pos="7110" w:leader="none"/>
        </w:tabs>
        <w:rPr/>
      </w:pPr>
      <w:r>
        <w:rPr/>
        <w:tab/>
        <w:t>BALTIMORE GAS AND ELECTRIC COMPANY</w:t>
      </w:r>
    </w:p>
    <w:p>
      <w:pPr>
        <w:pStyle w:val="Normal"/>
        <w:jc w:val="center"/>
        <w:rPr/>
      </w:pPr>
      <w:r>
        <w:rPr/>
      </w:r>
    </w:p>
    <w:p>
      <w:pPr>
        <w:pStyle w:val="Normal"/>
        <w:rPr/>
      </w:pPr>
      <w:r>
        <w:rPr/>
        <w:t>Dated:</w:t>
        <w:tab/>
        <w:t>August 28, 2000</w:t>
      </w:r>
    </w:p>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872"/>
      <w:pgNumType w:fmt="lowerRoman"/>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age"/>
      <w:rPr/>
    </w:pPr>
    <w:r>
      <w:rPr/>
      <w:t xml:space="preserve">  </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p>
    <w:pPr>
      <w:pStyle w:val="Page"/>
      <w:jc w:val="start"/>
      <w:rPr>
        <w:rFonts w:ascii="Arial" w:hAnsi="Arial" w:cs="Arial"/>
        <w:sz w:val="16"/>
      </w:rPr>
    </w:pPr>
    <w:r>
      <w:rPr>
        <w:rFonts w:cs="Arial" w:ascii="Arial" w:hAnsi="Arial"/>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age"/>
      <w:rPr/>
    </w:pPr>
    <w:r>
      <w:rPr/>
      <w:t xml:space="preserve">  </w:t>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389890"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389890"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xxxvii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30.7pt;height:13.8pt;mso-wrap-distance-left:0pt;mso-wrap-distance-right:0pt;mso-wrap-distance-top:0pt;mso-wrap-distance-bottom:0pt;margin-top:0.05pt;mso-position-vertical-relative:text;margin-left:218.6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xxxvii</w:t>
                    </w:r>
                    <w:r>
                      <w:rPr>
                        <w:rStyle w:val="PageNumber"/>
                      </w:rPr>
                      <w:fldChar w:fldCharType="end"/>
                    </w:r>
                  </w:p>
                </w:txbxContent>
              </v:textbox>
              <w10:wrap type="square"/>
            </v:rect>
          </w:pict>
        </mc:Fallback>
      </mc:AlternateContent>
    </w:r>
  </w:p>
  <w:p>
    <w:pPr>
      <w:pStyle w:val="Page"/>
      <w:jc w:val="start"/>
      <w:rPr>
        <w:rFonts w:ascii="Arial" w:hAnsi="Arial" w:cs="Arial"/>
        <w:sz w:val="16"/>
      </w:rPr>
    </w:pPr>
    <w:r>
      <w:rPr>
        <w:rFonts w:cs="Arial" w:ascii="Arial" w:hAnsi="Arial"/>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age"/>
      <w:rPr/>
    </w:pPr>
    <w:r>
      <w:rPr/>
      <w:t xml:space="preserve">  </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p>
                </w:txbxContent>
              </v:textbox>
              <w10:wrap type="square"/>
            </v:rect>
          </w:pict>
        </mc:Fallback>
      </mc:AlternateContent>
    </w:r>
  </w:p>
  <w:p>
    <w:pPr>
      <w:pStyle w:val="Page"/>
      <w:jc w:val="start"/>
      <w:rPr>
        <w:rFonts w:ascii="Arial" w:hAnsi="Arial" w:cs="Arial"/>
        <w:sz w:val="16"/>
      </w:rPr>
    </w:pPr>
    <w:r>
      <w:rPr>
        <w:rFonts w:cs="Arial" w:ascii="Arial" w:hAnsi="Arial"/>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240" w:after="0"/>
        <w:jc w:val="both"/>
        <w:rPr/>
      </w:pPr>
      <w:r>
        <w:rPr>
          <w:rStyle w:val="FootnoteCharacters"/>
        </w:rPr>
        <w:footnoteRef/>
      </w:r>
      <w:r>
        <w:rPr/>
        <w:t xml:space="preserve"> </w:t>
      </w:r>
      <w:r>
        <w:rPr/>
        <w:tab/>
        <w:t xml:space="preserve">Contrary to GAO’s decision, this provision of Section 2688 reflects Congressional acknowledgement of the applicability of State utility law and PSC authority in the context of a DOD utility privatization solicitation.  </w:t>
      </w:r>
      <w:r>
        <w:rPr>
          <w:i/>
        </w:rPr>
        <w:t>See</w:t>
      </w:r>
      <w:r>
        <w:rPr/>
        <w:t xml:space="preserve"> Complaint, Exhibit 6, at 8,  n. 6.</w:t>
      </w:r>
    </w:p>
  </w:footnote>
  <w:footnote w:id="3">
    <w:p>
      <w:pPr>
        <w:pStyle w:val="FootnoteText"/>
        <w:spacing w:before="240" w:after="0"/>
        <w:jc w:val="both"/>
        <w:rPr/>
      </w:pPr>
      <w:r>
        <w:rPr>
          <w:rStyle w:val="FootnoteCharacters"/>
        </w:rPr>
        <w:footnoteRef/>
      </w:r>
      <w:r>
        <w:rPr/>
        <w:t xml:space="preserve"> </w:t>
      </w:r>
      <w:r>
        <w:rPr/>
        <w:tab/>
        <w:t>The FAR is codified at 48 C.F.R. Chapter 1.  FAR Part 41 is found at 48 C.F.R. § 41.</w:t>
      </w:r>
    </w:p>
  </w:footnote>
  <w:footnote w:id="4">
    <w:p>
      <w:pPr>
        <w:pStyle w:val="FootnoteText"/>
        <w:spacing w:before="240" w:after="0"/>
        <w:jc w:val="both"/>
        <w:rPr/>
      </w:pPr>
      <w:r>
        <w:rPr>
          <w:rStyle w:val="FootnoteCharacters"/>
        </w:rPr>
        <w:footnoteRef/>
      </w:r>
      <w:r>
        <w:rPr/>
        <w:t xml:space="preserve"> </w:t>
      </w:r>
      <w:r>
        <w:rPr/>
        <w:tab/>
        <w:t xml:space="preserve">40 U.S.C. § 481 addresses, among other things, Federal Government management of public utilities as government property.  </w:t>
      </w:r>
      <w:r>
        <w:rPr>
          <w:i/>
        </w:rPr>
        <w:t>See</w:t>
      </w:r>
      <w:r>
        <w:rPr/>
        <w:t xml:space="preserve"> 40 U.S.C. § 481(a)(3) (1986).</w:t>
      </w:r>
    </w:p>
  </w:footnote>
  <w:footnote w:id="5">
    <w:p>
      <w:pPr>
        <w:pStyle w:val="FootnoteText"/>
        <w:spacing w:before="240" w:after="0"/>
        <w:jc w:val="both"/>
        <w:rPr/>
      </w:pPr>
      <w:r>
        <w:rPr>
          <w:rStyle w:val="FootnoteCharacters"/>
        </w:rPr>
        <w:footnoteRef/>
      </w:r>
      <w:r>
        <w:rPr/>
        <w:t xml:space="preserve"> </w:t>
      </w:r>
      <w:r>
        <w:rPr/>
        <w:tab/>
        <w:t xml:space="preserve">The GAO decision dismisses -- as inconsistent with Section 2688 -- the DRID No. 49 requirement for compliance with State utility laws and regulations.  </w:t>
      </w:r>
      <w:r>
        <w:rPr>
          <w:i/>
        </w:rPr>
        <w:t>See</w:t>
      </w:r>
      <w:r>
        <w:rPr/>
        <w:t xml:space="preserve"> Complaint, Exhibit 6, at 10.  The GAO’s analysis, however, is misplaced.  DRID No. 49 is DOD’s official interpretation and implementation of Section 2688.  For that reason, it is  an important indication of the proper interpretation of Section 2688, which undermines the credibility of the Army’s current litigation position.</w:t>
      </w:r>
    </w:p>
  </w:footnote>
  <w:footnote w:id="6">
    <w:p>
      <w:pPr>
        <w:pStyle w:val="FootnoteText"/>
        <w:spacing w:before="240" w:after="0"/>
        <w:jc w:val="both"/>
        <w:rPr/>
      </w:pPr>
      <w:r>
        <w:rPr>
          <w:rStyle w:val="FootnoteCharacters"/>
        </w:rPr>
        <w:footnoteRef/>
      </w:r>
      <w:r>
        <w:rPr/>
        <w:t xml:space="preserve"> </w:t>
      </w:r>
      <w:r>
        <w:rPr/>
        <w:tab/>
        <w:t>After BGE repeatedly objected to the Army’s failure to recognize PSC authority, the Government issued Amendment 0003 to the previous RFP, removing the FAR clauses and provisions typically included in utility services solicitations.</w:t>
      </w:r>
    </w:p>
  </w:footnote>
  <w:footnote w:id="7">
    <w:p>
      <w:pPr>
        <w:pStyle w:val="FootnoteText"/>
        <w:spacing w:before="240" w:after="0"/>
        <w:jc w:val="both"/>
        <w:rPr/>
      </w:pPr>
      <w:r>
        <w:rPr>
          <w:rStyle w:val="FootnoteCharacters"/>
        </w:rPr>
        <w:footnoteRef/>
      </w:r>
      <w:r>
        <w:rPr/>
        <w:t xml:space="preserve"> </w:t>
      </w:r>
      <w:r>
        <w:rPr/>
        <w:tab/>
        <w:t>While Section 8093 and FAR 41.201(d)(2) set forth certain limited exceptions to compliance with Section 8093, none apply to the Army’s Consolidated Utility Privatization RFP at issue in this protest.</w:t>
      </w:r>
    </w:p>
  </w:footnote>
  <w:footnote w:id="8">
    <w:p>
      <w:pPr>
        <w:pStyle w:val="FootnoteText"/>
        <w:spacing w:before="240" w:after="0"/>
        <w:jc w:val="both"/>
        <w:rPr/>
      </w:pPr>
      <w:r>
        <w:rPr>
          <w:rStyle w:val="FootnoteCharacters"/>
        </w:rPr>
        <w:footnoteRef/>
      </w:r>
      <w:r>
        <w:rPr/>
        <w:t xml:space="preserve"> </w:t>
      </w:r>
      <w:r>
        <w:rPr/>
        <w:tab/>
        <w:t xml:space="preserve">Amendment 0003 to the previous RFP removed this certification requirement from the Solicitation.  </w:t>
      </w:r>
      <w:r>
        <w:rPr>
          <w:i/>
        </w:rPr>
        <w:t>See</w:t>
      </w:r>
      <w:r>
        <w:rPr/>
        <w:t xml:space="preserve"> footnote 5.</w:t>
      </w:r>
    </w:p>
  </w:footnote>
  <w:footnote w:id="9">
    <w:p>
      <w:pPr>
        <w:pStyle w:val="FootnoteText"/>
        <w:spacing w:before="240" w:after="0"/>
        <w:jc w:val="both"/>
        <w:rPr/>
      </w:pPr>
      <w:r>
        <w:rPr>
          <w:rStyle w:val="FootnoteCharacters"/>
        </w:rPr>
        <w:footnoteRef/>
      </w:r>
      <w:r>
        <w:rPr/>
        <w:t xml:space="preserve"> </w:t>
      </w:r>
      <w:r>
        <w:rPr/>
        <w:tab/>
        <w:t xml:space="preserve">The GAO decision dismisses -- as inconsistent with Section 2688 -- the DOD regulatory requirement for compliance with State utility laws and regulations.  </w:t>
      </w:r>
      <w:r>
        <w:rPr>
          <w:i/>
        </w:rPr>
        <w:t>See</w:t>
      </w:r>
      <w:r>
        <w:rPr/>
        <w:t xml:space="preserve"> Complaint, Exhibit 6, at 10, n. 8.  The GAO’s analysis, however, is misplaced.  This regulatory provision is DOD’s official interpretation and implementation of Section 8093.  It also reflects DOD’s interpretation of Section 2688.  Thus, it is  an important indication of the proper interpretation of Section 8093 and Section 2688, which undermines the credibility of the Army’s current litigation position.</w:t>
      </w:r>
    </w:p>
  </w:footnote>
  <w:footnote w:id="10">
    <w:p>
      <w:pPr>
        <w:pStyle w:val="FootnoteText"/>
        <w:spacing w:before="240" w:after="0"/>
        <w:jc w:val="both"/>
        <w:rPr/>
      </w:pPr>
      <w:r>
        <w:rPr>
          <w:rStyle w:val="FootnoteCharacters"/>
        </w:rPr>
        <w:footnoteRef/>
      </w:r>
      <w:r>
        <w:rPr/>
        <w:t xml:space="preserve"> </w:t>
      </w:r>
      <w:r>
        <w:rPr/>
        <w:tab/>
        <w:t xml:space="preserve">The GAO’s conclusion that applicability of Maryland utility laws will leave the agency with only BGE as a utility service provider is a fallacy.  </w:t>
      </w:r>
      <w:r>
        <w:rPr>
          <w:i/>
        </w:rPr>
        <w:t>See</w:t>
      </w:r>
      <w:r>
        <w:rPr/>
        <w:t xml:space="preserve"> Complaint, Exhibit 6, at 6.  While BGE currently is the only PSC-sanctioned utility company in the Fort Meade area, the PSC and local governments can allow more than one utility company to service a particular area.  In fact, BGE recently obtained gas franchises for two areas from Frederick County authorities, along with PSC approval to exercise the franchises, although Washington Gas and Light Company previously was the sole franchised natural gas provider.  </w:t>
      </w:r>
    </w:p>
  </w:footnote>
  <w:footnote w:id="11">
    <w:p>
      <w:pPr>
        <w:pStyle w:val="FootnoteText"/>
        <w:spacing w:before="240" w:after="0"/>
        <w:jc w:val="both"/>
        <w:rPr/>
      </w:pPr>
      <w:r>
        <w:rPr>
          <w:rStyle w:val="FootnoteCharacters"/>
        </w:rPr>
        <w:footnoteRef/>
      </w:r>
      <w:r>
        <w:rPr/>
        <w:t xml:space="preserve"> </w:t>
      </w:r>
      <w:r>
        <w:rPr/>
        <w:tab/>
        <w:t xml:space="preserve">In </w:t>
      </w:r>
      <w:r>
        <w:rPr>
          <w:i/>
        </w:rPr>
        <w:t>Black Hills,</w:t>
      </w:r>
      <w:r>
        <w:rPr/>
        <w:t xml:space="preserve"> 918 F.2d at 720-22, the court’s majority held that Section 8093 does not subject federal enclaves to State regulation of electricity purchases.  The </w:t>
      </w:r>
      <w:r>
        <w:rPr>
          <w:i/>
        </w:rPr>
        <w:t xml:space="preserve">Black Hills </w:t>
      </w:r>
      <w:r>
        <w:rPr/>
        <w:t xml:space="preserve">decision, however, is not binding precedent outside the Eighth Circuit.  Moreover, Judge Magill’s dissenting opinion in </w:t>
      </w:r>
      <w:r>
        <w:rPr>
          <w:i/>
        </w:rPr>
        <w:t xml:space="preserve">Black Hills </w:t>
      </w:r>
      <w:r>
        <w:rPr/>
        <w:t>is especially compelling in its rationale; and, therefore, is more likely to be followed by other federal district courts.</w:t>
      </w:r>
    </w:p>
  </w:footnote>
  <w:footnote w:id="12">
    <w:p>
      <w:pPr>
        <w:pStyle w:val="FootnoteText"/>
        <w:spacing w:before="240" w:after="0"/>
        <w:jc w:val="both"/>
        <w:rPr/>
      </w:pPr>
      <w:r>
        <w:rPr>
          <w:rStyle w:val="FootnoteCharacters"/>
        </w:rPr>
        <w:footnoteRef/>
      </w:r>
      <w:r>
        <w:rPr/>
        <w:t xml:space="preserve"> </w:t>
      </w:r>
      <w:r>
        <w:rPr/>
        <w:tab/>
        <w:t xml:space="preserve">Judge Magill, in his dissenting opinion, concluded that this legislative history clearly indicates “Congress intended to eliminate competitive bidding in the federal retail procurement of electricity.”  </w:t>
      </w:r>
      <w:r>
        <w:rPr>
          <w:i/>
        </w:rPr>
        <w:t>Black Hills</w:t>
      </w:r>
      <w:r>
        <w:rPr/>
        <w:t>, 918 F.2d at 721.  If this, in fact, was Congress’ intent, then the Army must procure electric services -- and solicit privatization of the electric distribution system -- for Fort Meade on a noncompetitive, sole-source basis from BGE.  To the extent Congress intended to allow competitive procurement of electric services, it clearly intended that any such competitive solicitation comply with State law.  Accordingly, if the Army utilizes the subject Solicitation to privatize Fort Meade’s electric distribution system on a competitive basis, it at least must amend the Solicitation to require offerors to demonstrate compliance with Maryland utility laws, as a condition of award eligibility.</w:t>
      </w:r>
    </w:p>
  </w:footnote>
  <w:footnote w:id="13">
    <w:p>
      <w:pPr>
        <w:pStyle w:val="FootnoteText"/>
        <w:spacing w:before="240" w:after="0"/>
        <w:ind w:hanging="864" w:start="950" w:end="0"/>
        <w:jc w:val="start"/>
        <w:rPr/>
      </w:pPr>
      <w:r>
        <w:rPr>
          <w:rStyle w:val="FootnoteCharacters"/>
        </w:rPr>
        <w:footnoteRef/>
      </w:r>
      <w:r>
        <w:rPr/>
        <w:t xml:space="preserve"> </w:t>
      </w:r>
      <w:r>
        <w:rPr/>
        <w:tab/>
        <w:t>By contracting with BGE at its regulated rates and utilizing BGE’s utility distribution systems, the Army has assented to and benefited from the PSC’s authority and jurisdiction on Fort Meade.</w:t>
      </w:r>
    </w:p>
  </w:footnote>
  <w:footnote w:id="14">
    <w:p>
      <w:pPr>
        <w:pStyle w:val="FootnoteText"/>
        <w:spacing w:lineRule="exact" w:line="200" w:before="120" w:after="0"/>
        <w:jc w:val="both"/>
        <w:rPr/>
      </w:pPr>
      <w:r>
        <w:rPr>
          <w:rStyle w:val="FootnoteCharacters"/>
        </w:rPr>
        <w:footnoteRef/>
      </w:r>
      <w:r>
        <w:rPr/>
        <w:t xml:space="preserve"> </w:t>
      </w:r>
      <w:r>
        <w:rPr/>
        <w:tab/>
        <w:t>In 1994, the Army conducted negotiations with BGE for award of a sole-source contract for privatization of Fort Meade’s electric and natural gas distribution systems.  These sole-source negotiations continued until September 1998.  Thus, the Army itself has recognized the availability of a sole-source acquisition alternative pursuant to Section 2688 (which was enacted in 1997).</w:t>
      </w:r>
    </w:p>
  </w:footnote>
  <w:footnote w:id="15">
    <w:p>
      <w:pPr>
        <w:pStyle w:val="FootnoteText"/>
        <w:spacing w:before="240" w:after="0"/>
        <w:jc w:val="both"/>
        <w:rPr/>
      </w:pPr>
      <w:r>
        <w:rPr>
          <w:rStyle w:val="FootnoteCharacters"/>
        </w:rPr>
        <w:footnoteRef/>
      </w:r>
      <w:r>
        <w:rPr/>
        <w:t xml:space="preserve"> </w:t>
      </w:r>
      <w:r>
        <w:rPr/>
        <w:tab/>
        <w:t xml:space="preserve">The Solicitation requires the contract awardee to construct a replacement natural gas distribution system.  Ownership of Fort Meade’s new natural gas distribution system will occur once the system is operational.  </w:t>
      </w:r>
      <w:r>
        <w:rPr>
          <w:i/>
        </w:rPr>
        <w:t>See</w:t>
      </w:r>
      <w:r>
        <w:rPr/>
        <w:t xml:space="preserve"> Complaint, ¶ 42.</w:t>
      </w:r>
    </w:p>
  </w:footnote>
  <w:footnote w:id="16">
    <w:p>
      <w:pPr>
        <w:pStyle w:val="FootnoteText"/>
        <w:spacing w:before="240" w:after="0"/>
        <w:jc w:val="both"/>
        <w:rPr/>
      </w:pPr>
      <w:r>
        <w:rPr>
          <w:rStyle w:val="FootnoteCharacters"/>
        </w:rPr>
        <w:footnoteRef/>
      </w:r>
      <w:r>
        <w:rPr/>
        <w:t xml:space="preserve"> </w:t>
      </w:r>
      <w:r>
        <w:rPr/>
        <w:tab/>
        <w:t>Because it understands that contract award is not imminent, Plaintiff has not requested a temporary restraining order.  However, BGE reserves the right to seek a temporary restraining order, in the event the Government accelerates the contract award date.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MarkCheckBox" w:val="FALS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480" w:after="0"/>
      <w:jc w:val="center"/>
      <w:outlineLvl w:val="0"/>
    </w:pPr>
    <w:rPr>
      <w:b/>
      <w:caps/>
      <w:color w:val="000080"/>
    </w:rPr>
  </w:style>
  <w:style w:type="paragraph" w:styleId="Heading2">
    <w:name w:val="heading 2"/>
    <w:basedOn w:val="Heading1"/>
    <w:next w:val="Normal"/>
    <w:qFormat/>
    <w:pPr>
      <w:numPr>
        <w:ilvl w:val="1"/>
        <w:numId w:val="1"/>
      </w:numPr>
      <w:spacing w:before="360" w:after="0"/>
      <w:outlineLvl w:val="1"/>
    </w:pPr>
    <w:rPr>
      <w:caps w:val="false"/>
      <w:smallCaps w:val="false"/>
      <w:color w:val="800000"/>
    </w:rPr>
  </w:style>
  <w:style w:type="paragraph" w:styleId="Heading3">
    <w:name w:val="heading 3"/>
    <w:basedOn w:val="Heading2"/>
    <w:next w:val="BodyText"/>
    <w:qFormat/>
    <w:pPr>
      <w:numPr>
        <w:ilvl w:val="2"/>
        <w:numId w:val="1"/>
      </w:numPr>
      <w:jc w:val="start"/>
      <w:outlineLvl w:val="2"/>
    </w:pPr>
    <w:rPr>
      <w:color w:val="008000"/>
    </w:rPr>
  </w:style>
  <w:style w:type="paragraph" w:styleId="Heading4">
    <w:name w:val="heading 4"/>
    <w:basedOn w:val="Heading3"/>
    <w:next w:val="BodyText"/>
    <w:qFormat/>
    <w:pPr>
      <w:numPr>
        <w:ilvl w:val="3"/>
        <w:numId w:val="1"/>
      </w:numPr>
      <w:outlineLvl w:val="3"/>
    </w:pPr>
    <w:rPr>
      <w:i/>
      <w:color w:val="auto"/>
    </w:rPr>
  </w:style>
  <w:style w:type="paragraph" w:styleId="Heading5">
    <w:name w:val="heading 5"/>
    <w:basedOn w:val="Heading4"/>
    <w:next w:val="BodyText"/>
    <w:qFormat/>
    <w:pPr>
      <w:numPr>
        <w:ilvl w:val="4"/>
        <w:numId w:val="1"/>
      </w:numPr>
      <w:outlineLvl w:val="4"/>
    </w:pPr>
    <w:rPr>
      <w:b w:val="fals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trike w:val="false"/>
      <w:dstrike w:val="false"/>
      <w:color w:val="FF0000"/>
      <w:sz w:val="20"/>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BodyText"/>
    <w:next w:val="BodyText"/>
    <w:qFormat/>
    <w:pPr>
      <w:spacing w:lineRule="auto" w:line="480" w:before="240" w:after="60"/>
      <w:jc w:val="center"/>
      <w:outlineLvl w:val="0"/>
    </w:pPr>
    <w:rPr>
      <w:rFonts w:ascii="Arial" w:hAnsi="Arial" w:cs="Arial"/>
      <w:b/>
      <w:smallCaps/>
      <w:kern w:val="2"/>
      <w:sz w:val="28"/>
    </w:rPr>
  </w:style>
  <w:style w:type="paragraph" w:styleId="BodyText">
    <w:name w:val="Body Text"/>
    <w:basedOn w:val="Normal"/>
    <w:pPr>
      <w:spacing w:before="240" w:after="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Page">
    <w:name w:val="Page#"/>
    <w:basedOn w:val="Normal"/>
    <w:qFormat/>
    <w:pPr>
      <w:jc w:val="center"/>
    </w:pPr>
    <w:rPr>
      <w:color w:val="000000"/>
    </w:rPr>
  </w:style>
  <w:style w:type="paragraph" w:styleId="footerinfo">
    <w:name w:val="footerinfo"/>
    <w:basedOn w:val="Normal"/>
    <w:qFormat/>
    <w:pPr>
      <w:jc w:val="start"/>
    </w:pPr>
    <w:rPr>
      <w:rFonts w:ascii="Arial" w:hAnsi="Arial" w:cs="Arial"/>
      <w:color w:val="000000"/>
      <w:sz w:val="16"/>
    </w:rPr>
  </w:style>
  <w:style w:type="paragraph" w:styleId="Footer">
    <w:name w:val="footer"/>
    <w:basedOn w:val="Normal"/>
    <w:pPr>
      <w:tabs>
        <w:tab w:val="clear" w:pos="720"/>
        <w:tab w:val="center" w:pos="4147" w:leader="none"/>
        <w:tab w:val="right" w:pos="8280" w:leader="none"/>
      </w:tabs>
    </w:pPr>
    <w:rPr>
      <w:color w:val="000000"/>
    </w:rPr>
  </w:style>
  <w:style w:type="paragraph" w:styleId="envelopereturn1">
    <w:name w:val="envelope return1"/>
    <w:basedOn w:val="Normal"/>
    <w:qFormat/>
    <w:pPr>
      <w:jc w:val="start"/>
    </w:pPr>
    <w:rPr/>
  </w:style>
  <w:style w:type="paragraph" w:styleId="EnvelopeAddress">
    <w:name w:val="envelope address"/>
    <w:basedOn w:val="Normal"/>
    <w:pPr>
      <w:ind w:hanging="0" w:start="2880" w:end="0"/>
    </w:pPr>
    <w:rPr/>
  </w:style>
  <w:style w:type="paragraph" w:styleId="envelopeaddress1">
    <w:name w:val="envelope address1"/>
    <w:basedOn w:val="Normal"/>
    <w:qFormat/>
    <w:pPr>
      <w:ind w:hanging="0" w:start="2880" w:end="0"/>
      <w:jc w:val="start"/>
    </w:pPr>
    <w:rPr/>
  </w:style>
  <w:style w:type="paragraph" w:styleId="EnvelopeReturn">
    <w:name w:val="envelope return"/>
    <w:basedOn w:val="Normal"/>
    <w:pPr/>
    <w:rPr/>
  </w:style>
  <w:style w:type="paragraph" w:styleId="bodynoident">
    <w:name w:val="body no ident"/>
    <w:basedOn w:val="BodyText"/>
    <w:next w:val="BodyText"/>
    <w:qFormat/>
    <w:pPr>
      <w:ind w:hanging="0" w:start="0" w:end="0"/>
    </w:pPr>
    <w:rPr/>
  </w:style>
  <w:style w:type="paragraph" w:styleId="FootnoteText">
    <w:name w:val="footnote text"/>
    <w:basedOn w:val="Normal"/>
    <w:pPr>
      <w:spacing w:before="240" w:after="0"/>
      <w:ind w:hanging="864" w:start="950" w:end="0"/>
      <w:jc w:val="start"/>
    </w:pPr>
    <w:rPr>
      <w:sz w:val="20"/>
    </w:rPr>
  </w:style>
  <w:style w:type="paragraph" w:styleId="ListBullet2">
    <w:name w:val="List Bullet 2"/>
    <w:basedOn w:val="Normal"/>
    <w:pPr>
      <w:spacing w:before="240" w:after="0"/>
      <w:ind w:hanging="360" w:start="1080" w:end="0"/>
    </w:pPr>
    <w:rPr/>
  </w:style>
  <w:style w:type="paragraph" w:styleId="List2d">
    <w:name w:val="List 2.d"/>
    <w:basedOn w:val="ListBullet2"/>
    <w:qFormat/>
    <w:pPr>
      <w:tabs>
        <w:tab w:val="clear" w:pos="720"/>
        <w:tab w:val="decimal" w:pos="1224" w:leader="none"/>
      </w:tabs>
      <w:ind w:hanging="720" w:start="2160" w:end="0"/>
    </w:pPr>
    <w:rPr/>
  </w:style>
  <w:style w:type="paragraph" w:styleId="ListBullet3">
    <w:name w:val="List Bullet 3"/>
    <w:basedOn w:val="ListBullet2"/>
    <w:pPr>
      <w:ind w:hanging="360" w:start="1440" w:end="0"/>
    </w:pPr>
    <w:rPr/>
  </w:style>
  <w:style w:type="paragraph" w:styleId="List3d">
    <w:name w:val="List 3.d"/>
    <w:basedOn w:val="ListBullet3"/>
    <w:qFormat/>
    <w:pPr>
      <w:tabs>
        <w:tab w:val="clear" w:pos="720"/>
        <w:tab w:val="decimal" w:pos="1944" w:leader="none"/>
      </w:tabs>
      <w:ind w:hanging="720" w:start="2880" w:end="0"/>
    </w:pPr>
    <w:rPr/>
  </w:style>
  <w:style w:type="paragraph" w:styleId="ListBullet4">
    <w:name w:val="List Bullet 4"/>
    <w:basedOn w:val="ListBullet3"/>
    <w:pPr>
      <w:ind w:hanging="360" w:start="1800" w:end="0"/>
    </w:pPr>
    <w:rPr/>
  </w:style>
  <w:style w:type="paragraph" w:styleId="List4d">
    <w:name w:val="List 4.d"/>
    <w:basedOn w:val="ListBullet4"/>
    <w:qFormat/>
    <w:pPr>
      <w:tabs>
        <w:tab w:val="clear" w:pos="720"/>
        <w:tab w:val="decimal" w:pos="2664" w:leader="none"/>
      </w:tabs>
      <w:ind w:hanging="720" w:start="3600" w:end="0"/>
    </w:pPr>
    <w:rPr/>
  </w:style>
  <w:style w:type="paragraph" w:styleId="ListBullet5">
    <w:name w:val="List Bullet 5"/>
    <w:basedOn w:val="ListBullet4"/>
    <w:pPr>
      <w:ind w:hanging="360" w:start="2160" w:end="0"/>
    </w:pPr>
    <w:rPr/>
  </w:style>
  <w:style w:type="paragraph" w:styleId="List5d">
    <w:name w:val="List 5.d"/>
    <w:basedOn w:val="ListBullet5"/>
    <w:qFormat/>
    <w:pPr>
      <w:tabs>
        <w:tab w:val="clear" w:pos="720"/>
        <w:tab w:val="decimal" w:pos="3384" w:leader="none"/>
      </w:tabs>
      <w:ind w:hanging="720" w:start="4320" w:end="0"/>
    </w:pPr>
    <w:rPr/>
  </w:style>
  <w:style w:type="paragraph" w:styleId="NormalIndent">
    <w:name w:val="Normal Indent"/>
    <w:basedOn w:val="Normal"/>
    <w:qFormat/>
    <w:pPr>
      <w:spacing w:before="240" w:after="0"/>
      <w:ind w:hanging="0" w:start="720" w:end="0"/>
    </w:pPr>
    <w:rPr/>
  </w:style>
  <w:style w:type="paragraph" w:styleId="TOC1">
    <w:name w:val="toc 1"/>
    <w:basedOn w:val="Normal"/>
    <w:next w:val="Normal"/>
    <w:pPr>
      <w:tabs>
        <w:tab w:val="clear" w:pos="720"/>
        <w:tab w:val="left" w:pos="8640" w:leader="dot"/>
      </w:tabs>
      <w:spacing w:before="120" w:after="0"/>
      <w:ind w:hanging="360" w:start="360" w:end="2250"/>
    </w:pPr>
    <w:rPr>
      <w:rFonts w:ascii="Arial" w:hAnsi="Arial" w:cs="Arial"/>
      <w:b/>
      <w:lang w:val="en-CA"/>
    </w:rPr>
  </w:style>
  <w:style w:type="paragraph" w:styleId="TOC2">
    <w:name w:val="toc 2"/>
    <w:basedOn w:val="TOC1"/>
    <w:next w:val="Normal"/>
    <w:pPr>
      <w:tabs>
        <w:tab w:val="left" w:pos="1080" w:leader="none"/>
        <w:tab w:val="left" w:pos="8640" w:leader="dot"/>
        <w:tab w:val="decimal" w:pos="8910" w:leader="none"/>
        <w:tab w:val="left" w:pos="9180" w:leader="dot"/>
      </w:tabs>
      <w:spacing w:before="60" w:after="0"/>
      <w:ind w:hanging="360" w:start="1080" w:end="2250"/>
    </w:pPr>
    <w:rPr>
      <w:b w:val="false"/>
    </w:rPr>
  </w:style>
  <w:style w:type="paragraph" w:styleId="TOC3">
    <w:name w:val="toc 3"/>
    <w:basedOn w:val="TOC2"/>
    <w:next w:val="Normal"/>
    <w:pPr>
      <w:tabs>
        <w:tab w:val="clear" w:pos="8640"/>
        <w:tab w:val="left" w:pos="1080" w:leader="none"/>
        <w:tab w:val="decimal" w:pos="8820" w:leader="dot"/>
        <w:tab w:val="decimal" w:pos="8910" w:leader="none"/>
        <w:tab w:val="left" w:pos="9180" w:leader="dot"/>
      </w:tabs>
      <w:ind w:hanging="360" w:start="1440" w:end="2250"/>
    </w:pPr>
    <w:rPr>
      <w:u w:val="single"/>
      <w:lang w:val="en-CA"/>
    </w:rPr>
  </w:style>
  <w:style w:type="paragraph" w:styleId="TOC4">
    <w:name w:val="toc 4"/>
    <w:basedOn w:val="TOC3"/>
    <w:next w:val="Normal"/>
    <w:pPr>
      <w:ind w:hanging="360" w:start="1800" w:end="2250"/>
    </w:pPr>
    <w:rPr/>
  </w:style>
  <w:style w:type="paragraph" w:styleId="TOC5">
    <w:name w:val="toc 5"/>
    <w:basedOn w:val="TOC4"/>
    <w:next w:val="Normal"/>
    <w:pPr>
      <w:ind w:hanging="360" w:start="2160" w:end="2250"/>
    </w:pPr>
    <w:rPr/>
  </w:style>
  <w:style w:type="paragraph" w:styleId="Quote">
    <w:name w:val="Quote"/>
    <w:basedOn w:val="Normal"/>
    <w:qFormat/>
    <w:pPr>
      <w:spacing w:before="240" w:after="0"/>
      <w:ind w:hanging="0" w:start="1440" w:end="1440"/>
    </w:pPr>
    <w:rPr/>
  </w:style>
  <w:style w:type="paragraph" w:styleId="bodytext1">
    <w:name w:val="body text1"/>
    <w:basedOn w:val="Normal"/>
    <w:qFormat/>
    <w:pPr>
      <w:spacing w:before="240" w:after="0"/>
      <w:ind w:firstLine="720" w:start="0" w:end="0"/>
    </w:pPr>
    <w:rPr/>
  </w:style>
  <w:style w:type="paragraph" w:styleId="TableofAuthorities">
    <w:name w:val="Table of Authorities"/>
    <w:basedOn w:val="Normal"/>
    <w:next w:val="Normal"/>
    <w:qFormat/>
    <w:pPr>
      <w:ind w:hanging="240" w:start="240" w:end="0"/>
    </w:pPr>
    <w:rPr>
      <w:sz w:val="20"/>
    </w:rPr>
  </w:style>
  <w:style w:type="paragraph" w:styleId="TOAHeading">
    <w:name w:val="TOA Heading"/>
    <w:basedOn w:val="Normal"/>
    <w:next w:val="Normal"/>
    <w:qFormat/>
    <w:pPr>
      <w:spacing w:before="240" w:after="120"/>
    </w:pPr>
    <w:rPr>
      <w:b/>
      <w:caps/>
      <w:sz w:val="20"/>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DocumentMap">
    <w:name w:val="Document Map"/>
    <w:basedOn w:val="Normal"/>
    <w:qFormat/>
    <w:pPr>
      <w:shd w:fill="000080" w:val="clear"/>
    </w:pPr>
    <w:rPr>
      <w:rFonts w:ascii="Tahoma" w:hAnsi="Tahoma" w:cs="Tahoma"/>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2000-08-26T01:46:00Z</dcterms:created>
  <dc:creator>m800</dc:creator>
  <dc:description/>
  <dc:language>en-CA</dc:language>
  <cp:lastModifiedBy>m800</cp:lastModifiedBy>
  <cp:lastPrinted>2000-08-27T18:32:00Z</cp:lastPrinted>
  <dcterms:modified xsi:type="dcterms:W3CDTF">2000-08-27T20:11:00Z</dcterms:modified>
  <cp:revision>5</cp:revision>
  <dc:subject/>
  <dc:title>UNITED STATES DISTRICT COURT</dc:title>
</cp:coreProperties>
</file>