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0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TABLE OF CONTENTS</w:t>
      </w:r>
    </w:p>
    <w:p>
      <w:pPr>
        <w:pStyle w:val="Style0"/>
        <w:numPr>
          <w:ilvl w:val="0"/>
          <w:numId w:val="0"/>
        </w:numPr>
        <w:ind w:end="360"/>
        <w:jc w:val="end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Page</w:t>
      </w:r>
    </w:p>
    <w:p>
      <w:pPr>
        <w:pStyle w:val="TOC1"/>
        <w:rPr>
          <w:rFonts w:ascii="Times New Roman" w:hAnsi="Times New Roman" w:cs="Times New Roman"/>
          <w:b w:val="false"/>
          <w:u w:val="single"/>
        </w:rPr>
      </w:pPr>
      <w:r>
        <w:rPr>
          <w:rFonts w:cs="Times New Roman" w:ascii="Times New Roman" w:hAnsi="Times New Roman"/>
          <w:b w:val="false"/>
          <w:u w:val="single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before="120" w:after="0"/>
            <w:ind w:hanging="360" w:start="360" w:end="2250"/>
            <w:rPr>
              <w:rFonts w:ascii="Arial" w:hAnsi="Arial" w:cs="Arial"/>
              <w:b/>
              <w:lang w:val="en-CA"/>
            </w:rPr>
          </w:pPr>
          <w:r>
            <w:fldChar w:fldCharType="begin"/>
          </w:r>
          <w:r>
            <w:rPr>
              <w:b/>
              <w:rFonts w:cs="Arial"/>
              <w:lang w:val="en-CA"/>
            </w:rPr>
            <w:instrText xml:space="preserve"> TOC \f </w:instrText>
          </w:r>
          <w:r>
            <w:rPr>
              <w:b/>
              <w:rFonts w:cs="Arial"/>
              <w:lang w:val="en-CA"/>
            </w:rPr>
            <w:fldChar w:fldCharType="separate"/>
          </w:r>
          <w:r>
            <w:rPr>
              <w:rFonts w:cs="Arial"/>
              <w:b/>
              <w:lang w:val="en-CA"/>
            </w:rPr>
            <w:t>INTRODUCTION</w:t>
          </w:r>
          <w:r>
            <w:rPr>
              <w:rFonts w:cs="Times New Roman" w:ascii="Times New Roman" w:hAnsi="Times New Roman"/>
              <w:b w:val="false"/>
              <w:lang w:val="en-CA"/>
            </w:rPr>
            <w:tab/>
            <w:t>1</w:t>
          </w:r>
        </w:p>
        <w:p>
          <w:pPr>
            <w:pStyle w:val="TOC1"/>
            <w:rPr>
              <w:rFonts w:ascii="Times New Roman" w:hAnsi="Times New Roman" w:cs="Times New Roman"/>
              <w:b w:val="false"/>
            </w:rPr>
          </w:pPr>
          <w:r>
            <w:rPr>
              <w:rFonts w:cs="Times New Roman" w:ascii="Times New Roman" w:hAnsi="Times New Roman"/>
              <w:b w:val="false"/>
            </w:rPr>
          </w:r>
        </w:p>
        <w:p>
          <w:pPr>
            <w:pStyle w:val="TOC1"/>
            <w:rPr/>
          </w:pPr>
          <w:r>
            <w:rPr/>
            <w:t>FACTUAL</w:t>
          </w:r>
          <w:r>
            <w:rPr>
              <w:rFonts w:cs="Times New Roman" w:ascii="Times New Roman" w:hAnsi="Times New Roman"/>
              <w:b w:val="false"/>
            </w:rPr>
            <w:t xml:space="preserve"> </w:t>
          </w:r>
          <w:r>
            <w:rPr/>
            <w:t>BACKGROUND</w:t>
          </w:r>
          <w:r>
            <w:rPr>
              <w:rFonts w:cs="Times New Roman" w:ascii="Times New Roman" w:hAnsi="Times New Roman"/>
              <w:b w:val="false"/>
            </w:rPr>
            <w:tab/>
            <w:t>4</w:t>
          </w:r>
        </w:p>
        <w:p>
          <w:pPr>
            <w:pStyle w:val="TOC1"/>
            <w:rPr>
              <w:rFonts w:ascii="Times New Roman" w:hAnsi="Times New Roman" w:cs="Times New Roman"/>
              <w:b w:val="false"/>
            </w:rPr>
          </w:pPr>
          <w:r>
            <w:rPr>
              <w:rFonts w:cs="Times New Roman" w:ascii="Times New Roman" w:hAnsi="Times New Roman"/>
              <w:b w:val="false"/>
            </w:rPr>
          </w:r>
        </w:p>
        <w:p>
          <w:pPr>
            <w:pStyle w:val="TOC1"/>
            <w:rPr/>
          </w:pPr>
          <w:r>
            <w:rPr/>
            <w:t>ARGUMENT</w:t>
          </w:r>
          <w:r>
            <w:rPr>
              <w:rFonts w:cs="Times New Roman" w:ascii="Times New Roman" w:hAnsi="Times New Roman"/>
              <w:b w:val="false"/>
            </w:rPr>
            <w:tab/>
            <w:t>4</w:t>
          </w:r>
        </w:p>
        <w:p>
          <w:pPr>
            <w:pStyle w:val="TOC2"/>
            <w:rPr>
              <w:rFonts w:ascii="Times New Roman" w:hAnsi="Times New Roman" w:cs="Times New Roman"/>
              <w:b/>
            </w:rPr>
          </w:pPr>
          <w:r>
            <w:rPr>
              <w:rFonts w:cs="Times New Roman"/>
              <w:b/>
            </w:rPr>
          </w:r>
        </w:p>
        <w:p>
          <w:pPr>
            <w:pStyle w:val="TOC2"/>
            <w:rPr/>
          </w:pPr>
          <w:r>
            <w:rPr>
              <w:b/>
            </w:rPr>
            <w:t>I.</w:t>
            <w:tab/>
          </w:r>
          <w:r>
            <w:rPr>
              <w:b/>
              <w:i/>
            </w:rPr>
            <w:t>Plaintiff Is Likely To Succeed On The Merits</w:t>
          </w:r>
          <w:r>
            <w:rPr/>
            <w:t>.</w:t>
            <w:tab/>
            <w:t>5</w:t>
          </w:r>
        </w:p>
        <w:p>
          <w:pPr>
            <w:pStyle w:val="TOC3"/>
            <w:rPr/>
          </w:pPr>
          <w:r>
            <w:rPr/>
          </w:r>
        </w:p>
        <w:p>
          <w:pPr>
            <w:pStyle w:val="TOC3"/>
            <w:rPr/>
          </w:pPr>
          <w:r>
            <w:rPr/>
            <w:t>A.</w:t>
            <w:tab/>
            <w:t>The States Possess Regulatory Authority Over Intrastate Utility Services.</w:t>
            <w:tab/>
            <w:t>5</w:t>
          </w:r>
        </w:p>
        <w:p>
          <w:pPr>
            <w:pStyle w:val="TOC3"/>
            <w:rPr/>
          </w:pPr>
          <w:r>
            <w:rPr/>
          </w:r>
        </w:p>
        <w:p>
          <w:pPr>
            <w:pStyle w:val="TOC3"/>
            <w:rPr/>
          </w:pPr>
          <w:r>
            <w:rPr/>
            <w:t>B.</w:t>
            <w:tab/>
            <w:t>Under Maryland Law, BGE Alone Is Currently Authorized To Operate As An Electric Or Gas Company In The Fort Meade Area.</w:t>
            <w:tab/>
            <w:t>7</w:t>
          </w:r>
        </w:p>
        <w:p>
          <w:pPr>
            <w:pStyle w:val="TOC3"/>
            <w:rPr/>
          </w:pPr>
          <w:r>
            <w:rPr/>
          </w:r>
        </w:p>
        <w:p>
          <w:pPr>
            <w:pStyle w:val="TOC3"/>
            <w:rPr/>
          </w:pPr>
          <w:r>
            <w:rPr/>
            <w:t>C.</w:t>
            <w:tab/>
            <w:t>The Army’s Privatization Solicitation Is Inconsistent With Maryland Law, And Thereby Violates Federal Statutes, Regulations and Directives, As Well As The United States Constitution.</w:t>
            <w:tab/>
            <w:t>9</w:t>
          </w:r>
        </w:p>
        <w:p>
          <w:pPr>
            <w:pStyle w:val="TOC4"/>
            <w:rPr/>
          </w:pPr>
          <w:r>
            <w:rPr/>
          </w:r>
        </w:p>
        <w:p>
          <w:pPr>
            <w:pStyle w:val="TOC4"/>
            <w:rPr/>
          </w:pPr>
          <w:r>
            <w:rPr/>
            <w:t>1.</w:t>
            <w:tab/>
          </w:r>
          <w:r>
            <w:rPr>
              <w:i/>
            </w:rPr>
            <w:t>While Section 2688 And DRID No. 49 May Require Competitive Procedures For Utility Privatization, Any Such Competition Requires Compliance With Applicable State Law</w:t>
          </w:r>
          <w:r>
            <w:rPr/>
            <w:t>.</w:t>
            <w:tab/>
            <w:t>10</w:t>
          </w:r>
        </w:p>
        <w:p>
          <w:pPr>
            <w:pStyle w:val="TOC4"/>
            <w:rPr/>
          </w:pPr>
          <w:r>
            <w:rPr/>
          </w:r>
        </w:p>
        <w:p>
          <w:pPr>
            <w:pStyle w:val="TOC4"/>
            <w:rPr/>
          </w:pPr>
          <w:r>
            <w:rPr/>
            <w:t>2.</w:t>
            <w:tab/>
          </w:r>
          <w:r>
            <w:rPr>
              <w:i/>
            </w:rPr>
            <w:t>Section 8093 And Its Implementing Regulations Expressly Mandate That The Army Comply With State Law And Rulings Of The State Public Service Commission</w:t>
          </w:r>
          <w:r>
            <w:rPr/>
            <w:t>.</w:t>
            <w:tab/>
            <w:t>15</w:t>
          </w:r>
        </w:p>
        <w:p>
          <w:pPr>
            <w:pStyle w:val="TOC4"/>
            <w:rPr/>
          </w:pPr>
          <w:r>
            <w:rPr/>
          </w:r>
        </w:p>
        <w:p>
          <w:pPr>
            <w:pStyle w:val="TOC4"/>
            <w:rPr/>
          </w:pPr>
          <w:r>
            <w:rPr/>
            <w:t>3.</w:t>
            <w:tab/>
          </w:r>
          <w:r>
            <w:rPr>
              <w:i/>
            </w:rPr>
            <w:t>The Privatization Solicitation Violates The Constitution’s Appropriations Clause and 31 U.S.C. § 1301(a)</w:t>
          </w:r>
          <w:r>
            <w:rPr/>
            <w:tab/>
            <w:t>19</w:t>
          </w:r>
        </w:p>
        <w:p>
          <w:pPr>
            <w:pStyle w:val="TOC3"/>
            <w:rPr/>
          </w:pPr>
          <w:r>
            <w:rPr/>
          </w:r>
          <w:r>
            <w:br w:type="page"/>
          </w:r>
        </w:p>
        <w:p>
          <w:pPr>
            <w:pStyle w:val="TOC3"/>
            <w:rPr/>
          </w:pPr>
          <w:r>
            <w:rPr/>
            <w:t>D.</w:t>
            <w:tab/>
            <w:t>PSC Authority And Jurisdiction Is Applicable To Fort Meade.</w:t>
            <w:tab/>
            <w:t>20</w:t>
          </w:r>
        </w:p>
        <w:p>
          <w:pPr>
            <w:pStyle w:val="TOC4"/>
            <w:rPr/>
          </w:pPr>
          <w:r>
            <w:rPr/>
          </w:r>
        </w:p>
        <w:p>
          <w:pPr>
            <w:pStyle w:val="TOC4"/>
            <w:rPr/>
          </w:pPr>
          <w:r>
            <w:rPr/>
            <w:t>1.</w:t>
            <w:tab/>
          </w:r>
          <w:r>
            <w:rPr>
              <w:i/>
            </w:rPr>
            <w:t>The PSC’s Authority Does Not Conflict With Federal Law Or The Constitution’s Supremacy Clause</w:t>
          </w:r>
          <w:r>
            <w:rPr/>
            <w:t>.</w:t>
            <w:tab/>
            <w:t>20</w:t>
          </w:r>
        </w:p>
        <w:p>
          <w:pPr>
            <w:pStyle w:val="TOC4"/>
            <w:rPr/>
          </w:pPr>
          <w:r>
            <w:rPr/>
          </w:r>
        </w:p>
        <w:p>
          <w:pPr>
            <w:pStyle w:val="TOC4"/>
            <w:rPr/>
          </w:pPr>
          <w:r>
            <w:rPr/>
            <w:t>2.</w:t>
            <w:tab/>
          </w:r>
          <w:r>
            <w:rPr>
              <w:i/>
            </w:rPr>
            <w:t>Federal Enclave Status Does Not Exempt Fort Meade From PSC Authority And Jurisdiction.</w:t>
          </w:r>
          <w:r>
            <w:rPr/>
            <w:tab/>
            <w:t>23</w:t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  <w:t>a.</w:t>
            <w:tab/>
            <w:t>Regardless Of Federal Enclave Status, PSC Authority Existed Before Maryland’s Cession of Jurisdiction Over The Fort Meade Property</w:t>
            <w:tab/>
            <w:t>24</w:t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  <w:t>b.</w:t>
            <w:tab/>
            <w:t>Section 8093 Requires The Army To Privatize The Electric Distribution System Consistent With State Law.</w:t>
            <w:tab/>
            <w:t>24</w:t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</w:r>
        </w:p>
        <w:p>
          <w:pPr>
            <w:pStyle w:val="TOC5"/>
            <w:tabs>
              <w:tab w:val="left" w:pos="1170" w:leader="none"/>
              <w:tab w:val="left" w:pos="1440" w:leader="none"/>
              <w:tab w:val="decimal" w:pos="8820" w:leader="dot"/>
              <w:tab w:val="decimal" w:pos="8910" w:leader="none"/>
              <w:tab w:val="left" w:pos="9180" w:leader="none"/>
            </w:tabs>
            <w:rPr/>
          </w:pPr>
          <w:r>
            <w:rPr/>
            <w:t>c.</w:t>
            <w:tab/>
            <w:t>A Substantial Portion Of Fort Meade Is Subject To Concurrent State Jurisdiction.</w:t>
            <w:tab/>
            <w:t>29</w:t>
          </w:r>
        </w:p>
        <w:p>
          <w:pPr>
            <w:pStyle w:val="TOC3"/>
            <w:rPr/>
          </w:pPr>
          <w:r>
            <w:rPr/>
          </w:r>
        </w:p>
        <w:p>
          <w:pPr>
            <w:pStyle w:val="TOC3"/>
            <w:rPr/>
          </w:pPr>
          <w:r>
            <w:rPr/>
            <w:t>E.</w:t>
            <w:tab/>
            <w:t>The Army Must Cancel Or Amend The Solicitation To Require Offerors To Demonstrate Compliance With Maryland Law.</w:t>
            <w:tab/>
            <w:t>30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TOC2"/>
            <w:rPr/>
          </w:pPr>
          <w:r>
            <w:rPr>
              <w:b/>
            </w:rPr>
            <w:t>II.</w:t>
            <w:tab/>
          </w:r>
          <w:r>
            <w:rPr>
              <w:b/>
              <w:i/>
            </w:rPr>
            <w:t>Plaintiff Will Suffer Irreparable Harm And Has No Adequate Remedy At Law</w:t>
          </w:r>
          <w:r>
            <w:rPr/>
            <w:t>.</w:t>
            <w:tab/>
            <w:t>31</w:t>
          </w:r>
        </w:p>
        <w:p>
          <w:pPr>
            <w:pStyle w:val="TOC2"/>
            <w:rPr/>
          </w:pPr>
          <w:r>
            <w:rPr/>
          </w:r>
        </w:p>
        <w:p>
          <w:pPr>
            <w:pStyle w:val="TOC2"/>
            <w:rPr/>
          </w:pPr>
          <w:r>
            <w:rPr>
              <w:b/>
            </w:rPr>
            <w:t>III.</w:t>
            <w:tab/>
          </w:r>
          <w:r>
            <w:rPr>
              <w:b/>
              <w:i/>
            </w:rPr>
            <w:t>The Irreparable Harm To BGE Outweighs The Harm To Defendant</w:t>
          </w:r>
          <w:r>
            <w:rPr/>
            <w:t>.</w:t>
            <w:tab/>
            <w:t>33</w:t>
          </w:r>
        </w:p>
        <w:p>
          <w:pPr>
            <w:pStyle w:val="TOC2"/>
            <w:rPr/>
          </w:pPr>
          <w:r>
            <w:rPr/>
          </w:r>
        </w:p>
        <w:p>
          <w:pPr>
            <w:pStyle w:val="TOC2"/>
            <w:rPr/>
          </w:pPr>
          <w:r>
            <w:rPr>
              <w:b/>
            </w:rPr>
            <w:t>IV.</w:t>
            <w:tab/>
          </w:r>
          <w:r>
            <w:rPr>
              <w:b/>
              <w:i/>
            </w:rPr>
            <w:t>Granting Injunctive Relief Will Serve The Public Interest</w:t>
          </w:r>
          <w:r>
            <w:rPr/>
            <w:t>.</w:t>
            <w:tab/>
            <w:t>34</w:t>
          </w:r>
        </w:p>
        <w:p>
          <w:pPr>
            <w:pStyle w:val="TOC1"/>
            <w:rPr>
              <w:rFonts w:ascii="Times New Roman" w:hAnsi="Times New Roman" w:cs="Times New Roman"/>
              <w:b w:val="false"/>
            </w:rPr>
          </w:pPr>
          <w:r>
            <w:rPr>
              <w:rFonts w:cs="Times New Roman" w:ascii="Times New Roman" w:hAnsi="Times New Roman"/>
              <w:b w:val="false"/>
            </w:rPr>
          </w:r>
        </w:p>
        <w:p>
          <w:pPr>
            <w:pStyle w:val="TOC1"/>
            <w:rPr/>
          </w:pPr>
          <w:r>
            <w:rPr>
              <w:b w:val="false"/>
            </w:rPr>
            <w:t>CONCLUSION</w:t>
          </w:r>
          <w:r>
            <w:rPr>
              <w:rFonts w:cs="Times New Roman" w:ascii="Times New Roman" w:hAnsi="Times New Roman"/>
            </w:rPr>
            <w:tab/>
            <w:t>35</w:t>
          </w:r>
          <w:r>
            <w:rPr>
              <w:rFonts w:cs="Times New Roman" w:ascii="Times New Roman" w:hAnsi="Times New Roman"/>
            </w:rPr>
            <w:fldChar w:fldCharType="end"/>
          </w:r>
        </w:p>
      </w:sdtContent>
    </w:sdt>
    <w:p>
      <w:pPr>
        <w:pStyle w:val="Style0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9180" w:leader="none"/>
        </w:tabs>
        <w:ind w:end="225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rmal"/>
        <w:tabs>
          <w:tab w:val="left" w:pos="540" w:leader="dot"/>
          <w:tab w:val="left" w:pos="720" w:leader="none"/>
          <w:tab w:val="left" w:pos="1080" w:leader="none"/>
          <w:tab w:val="left" w:pos="1440" w:leader="none"/>
          <w:tab w:val="left" w:pos="1530" w:leader="none"/>
          <w:tab w:val="left" w:pos="7740" w:leader="dot"/>
          <w:tab w:val="left" w:pos="7920" w:leader="none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cs="Times New Roman"/>
          <w:b/>
          <w:u w:val="single"/>
        </w:rPr>
      </w:r>
      <w:r>
        <w:br w:type="page"/>
      </w:r>
    </w:p>
    <w:p>
      <w:pPr>
        <w:pStyle w:val="Normal"/>
        <w:tabs>
          <w:tab w:val="left" w:pos="540" w:leader="dot"/>
          <w:tab w:val="left" w:pos="720" w:leader="none"/>
          <w:tab w:val="left" w:pos="1080" w:leader="none"/>
          <w:tab w:val="left" w:pos="1440" w:leader="none"/>
          <w:tab w:val="left" w:pos="1530" w:leader="none"/>
          <w:tab w:val="left" w:pos="7740" w:leader="dot"/>
          <w:tab w:val="left" w:pos="7920" w:leader="none"/>
        </w:tabs>
        <w:jc w:val="center"/>
        <w:rPr>
          <w:b/>
          <w:u w:val="single"/>
        </w:rPr>
      </w:pPr>
      <w:r>
        <w:rPr>
          <w:b/>
          <w:u w:val="single"/>
        </w:rPr>
        <w:t>TABLE OF AUTHORITIES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TOAHeading"/>
        <w:numPr>
          <w:ilvl w:val="0"/>
          <w:numId w:val="0"/>
        </w:numPr>
        <w:tabs>
          <w:tab w:val="clear" w:pos="720"/>
          <w:tab w:val="right" w:pos="9350" w:leader="dot"/>
        </w:tabs>
        <w:jc w:val="center"/>
        <w:outlineLvl w:val="0"/>
        <w:rPr>
          <w:b w:val="false"/>
          <w:sz w:val="24"/>
          <w:lang w:val="en-CA"/>
        </w:rPr>
      </w:pPr>
      <w:r>
        <w:fldChar w:fldCharType="begin"/>
      </w:r>
      <w:r>
        <w:rPr>
          <w:sz w:val="24"/>
          <w:lang w:val="en-CA"/>
        </w:rPr>
        <w:instrText xml:space="preserve"> TOA \h \c "1" \p </w:instrText>
      </w:r>
      <w:r>
        <w:rPr>
          <w:sz w:val="24"/>
          <w:lang w:val="en-CA"/>
        </w:rPr>
      </w:r>
      <w:r>
        <w:rPr>
          <w:sz w:val="24"/>
          <w:lang w:val="en-CA"/>
        </w:rPr>
        <w:fldChar w:fldCharType="separate"/>
      </w:r>
      <w:r>
        <w:t>Cases</w:t>
      </w: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b/>
          <w:i/>
          <w:i/>
          <w:sz w:val="24"/>
          <w:lang w:val="en-CA"/>
        </w:rPr>
      </w:pPr>
      <w:r>
        <w:rPr>
          <w:b/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Arkansas Electric Cooperative Corporation v. Arkansas Public Service Commission,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461 U.S. 375 (1983)</w:t>
        <w:tab/>
        <w:t>7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Black Hills Power &amp; Light Co. v. Weinberger,</w:t>
      </w:r>
      <w:r>
        <w:rPr>
          <w:sz w:val="24"/>
          <w:lang w:val="en-CA"/>
        </w:rPr>
        <w:t xml:space="preserve"> 808 F.2d 665 (8</w:t>
      </w:r>
      <w:r>
        <w:rPr>
          <w:sz w:val="24"/>
          <w:vertAlign w:val="superscript"/>
          <w:lang w:val="en-CA"/>
        </w:rPr>
        <w:t>th</w:t>
      </w:r>
      <w:r>
        <w:rPr>
          <w:sz w:val="24"/>
          <w:lang w:val="en-CA"/>
        </w:rPr>
        <w:t xml:space="preserve"> Cir.), </w:t>
      </w:r>
      <w:r>
        <w:rPr>
          <w:i/>
          <w:sz w:val="24"/>
          <w:lang w:val="en-CA"/>
        </w:rPr>
        <w:t>cert. denied</w:t>
      </w:r>
      <w:r>
        <w:rPr>
          <w:sz w:val="24"/>
          <w:lang w:val="en-CA"/>
        </w:rPr>
        <w:t xml:space="preserve">, 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484 U.S. 818, 108 S.Ct. 73 (1987)</w:t>
        <w:tab/>
        <w:t>25, 29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numPr>
          <w:ilvl w:val="0"/>
          <w:numId w:val="0"/>
        </w:numPr>
        <w:tabs>
          <w:tab w:val="clear" w:pos="720"/>
          <w:tab w:val="right" w:pos="9350" w:leader="dot"/>
        </w:tabs>
        <w:ind w:hanging="240" w:start="240"/>
        <w:outlineLvl w:val="0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 xml:space="preserve">Blackwelder Furniture Company of Statesville, Inc. v. Seilig Manufacturing 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  <w:t xml:space="preserve">Company, Inc., </w:t>
      </w:r>
      <w:r>
        <w:rPr>
          <w:sz w:val="24"/>
          <w:lang w:val="en-CA"/>
        </w:rPr>
        <w:t>550 F.2d 189 (4</w:t>
      </w:r>
      <w:r>
        <w:rPr>
          <w:sz w:val="24"/>
          <w:vertAlign w:val="superscript"/>
          <w:lang w:val="en-CA"/>
        </w:rPr>
        <w:t>th</w:t>
      </w:r>
      <w:r>
        <w:rPr>
          <w:sz w:val="24"/>
          <w:lang w:val="en-CA"/>
        </w:rPr>
        <w:t xml:space="preserve"> Cir. 1977)</w:t>
        <w:tab/>
        <w:t>4, 5, 32, 34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Charles County Sanitation Disrict, Inc. v. Charles Utilities, Inc.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</w:r>
      <w:r>
        <w:rPr>
          <w:sz w:val="24"/>
          <w:lang w:val="en-CA"/>
        </w:rPr>
        <w:t>298 A.2d 419, (C.A. Md.1973)</w:t>
        <w:tab/>
        <w:t>7</w:t>
      </w:r>
    </w:p>
    <w:p>
      <w:pPr>
        <w:pStyle w:val="TableofAuthorities"/>
        <w:numPr>
          <w:ilvl w:val="0"/>
          <w:numId w:val="0"/>
        </w:numPr>
        <w:tabs>
          <w:tab w:val="clear" w:pos="720"/>
          <w:tab w:val="right" w:pos="9350" w:leader="dot"/>
        </w:tabs>
        <w:ind w:hanging="240" w:start="240"/>
        <w:outlineLvl w:val="0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numPr>
          <w:ilvl w:val="0"/>
          <w:numId w:val="0"/>
        </w:numPr>
        <w:tabs>
          <w:tab w:val="clear" w:pos="720"/>
          <w:tab w:val="right" w:pos="9350" w:leader="dot"/>
        </w:tabs>
        <w:ind w:hanging="240" w:start="240"/>
        <w:outlineLvl w:val="0"/>
        <w:rPr/>
      </w:pPr>
      <w:r>
        <w:rPr>
          <w:i/>
          <w:sz w:val="24"/>
          <w:lang w:val="en-CA"/>
        </w:rPr>
        <w:t>City of Alameda v. Todd Shipyards Corp.,</w:t>
      </w:r>
      <w:r>
        <w:rPr>
          <w:sz w:val="24"/>
          <w:lang w:val="en-CA"/>
        </w:rPr>
        <w:t xml:space="preserve"> 635 F.Supp. 1447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(N.D.Cal. 1986)</w:t>
        <w:tab/>
        <w:t>24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Collins &amp; Co., General Contractors, Inc. v. Claytor,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</w:r>
      <w:r>
        <w:rPr>
          <w:sz w:val="24"/>
          <w:lang w:val="en-CA"/>
        </w:rPr>
        <w:t>476 F. Supp. 407 (N.D. Ga. 1979)</w:t>
        <w:tab/>
        <w:t>34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Connecticut Light &amp; Power Co. v. Federal Power Commission,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</w:r>
      <w:r>
        <w:rPr>
          <w:sz w:val="24"/>
          <w:lang w:val="en-CA"/>
        </w:rPr>
        <w:t>324 U.S. 515 (1945)</w:t>
        <w:tab/>
        <w:t>6, 7, 9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DSE, Inc. v. United States,</w:t>
      </w:r>
      <w:r>
        <w:rPr>
          <w:sz w:val="24"/>
          <w:lang w:val="en-CA"/>
        </w:rPr>
        <w:t xml:space="preserve"> 3 F.Supp.2d. 1464 (D. D.C. 1998)</w:t>
        <w:tab/>
        <w:t>31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 xml:space="preserve">Express One International, Inc. v. United States Postal Service, 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841 F. Supp. 87 (D.D.C.1992)</w:t>
        <w:tab/>
        <w:t>34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Federal Power Commission v. Southern California Edison Co.,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376 U.S. 205 (1964)</w:t>
        <w:tab/>
        <w:t>6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Fort Sumter Tours, Inc. v. Andrus,</w:t>
      </w:r>
      <w:r>
        <w:rPr>
          <w:sz w:val="24"/>
          <w:lang w:val="en-CA"/>
        </w:rPr>
        <w:t xml:space="preserve"> 564 F.2d 1119 (4</w:t>
      </w:r>
      <w:r>
        <w:rPr>
          <w:sz w:val="24"/>
          <w:vertAlign w:val="superscript"/>
          <w:lang w:val="en-CA"/>
        </w:rPr>
        <w:t>th</w:t>
      </w:r>
      <w:r>
        <w:rPr>
          <w:sz w:val="24"/>
          <w:lang w:val="en-CA"/>
        </w:rPr>
        <w:t xml:space="preserve"> Cir. 1977)</w:t>
        <w:tab/>
        <w:t>4, 34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Helvering v. Gerhardt,</w:t>
      </w:r>
      <w:r>
        <w:rPr>
          <w:sz w:val="24"/>
          <w:lang w:val="en-CA"/>
        </w:rPr>
        <w:t xml:space="preserve"> 304 U.S. 405, 58 S.Ct. 969 (1938)</w:t>
        <w:tab/>
        <w:t>21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Howard v. Commissioners,</w:t>
      </w:r>
      <w:r>
        <w:rPr>
          <w:sz w:val="24"/>
          <w:lang w:val="en-CA"/>
        </w:rPr>
        <w:t xml:space="preserve"> 344 U.S. 624, 73 S.Ct. 465 (1953)</w:t>
        <w:tab/>
        <w:t>25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Howard County v. Potomac Electric Power Company,</w:t>
      </w:r>
      <w:r>
        <w:rPr>
          <w:sz w:val="24"/>
          <w:lang w:val="en-CA"/>
        </w:rPr>
        <w:t xml:space="preserve"> 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573 A.2d 821 (C.A. Md. 1990)</w:t>
        <w:tab/>
        <w:t>8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North Dakota v. United States,</w:t>
      </w:r>
      <w:r>
        <w:rPr>
          <w:sz w:val="24"/>
          <w:lang w:val="en-CA"/>
        </w:rPr>
        <w:t xml:space="preserve"> 495 U.S. 423, 110 S.Ct. 1986 (1990)</w:t>
        <w:tab/>
        <w:t>20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 xml:space="preserve">Offutt Hous. Co., v. County of Sarpy, </w:t>
      </w:r>
      <w:r>
        <w:rPr>
          <w:sz w:val="24"/>
          <w:lang w:val="en-CA"/>
        </w:rPr>
        <w:t>351 U.S. 253, 76</w:t>
      </w:r>
      <w:r>
        <w:rPr>
          <w:i/>
          <w:sz w:val="24"/>
          <w:lang w:val="en-CA"/>
        </w:rPr>
        <w:t xml:space="preserve"> </w:t>
      </w:r>
      <w:r>
        <w:rPr>
          <w:sz w:val="24"/>
          <w:lang w:val="en-CA"/>
        </w:rPr>
        <w:t>S.Ct. 814 (1956)</w:t>
        <w:tab/>
        <w:t>25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O’Donnell Construction Company v. District of Columbia,</w:t>
      </w:r>
      <w:r>
        <w:rPr>
          <w:sz w:val="24"/>
          <w:lang w:val="en-CA"/>
        </w:rPr>
        <w:t xml:space="preserve"> 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ab/>
        <w:t>963 F.2d 420 (D.C. Cir. 1992)</w:t>
        <w:tab/>
        <w:t>31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Panhandle Eastern Pipe Line Co. v. Public Service Commission of Indiana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</w:r>
      <w:r>
        <w:rPr>
          <w:sz w:val="24"/>
          <w:lang w:val="en-CA"/>
        </w:rPr>
        <w:t xml:space="preserve"> 322 U.S. 507 (1974)</w:t>
        <w:tab/>
        <w:t>6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Penn Dairies v. Milk Control Commission,</w:t>
      </w:r>
      <w:r>
        <w:rPr>
          <w:sz w:val="24"/>
          <w:lang w:val="en-CA"/>
        </w:rPr>
        <w:t xml:space="preserve"> 318 U.S. 261, 63 S.Ct. 617 (1943)</w:t>
        <w:tab/>
        <w:t>22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numPr>
          <w:ilvl w:val="0"/>
          <w:numId w:val="0"/>
        </w:numPr>
        <w:tabs>
          <w:tab w:val="clear" w:pos="720"/>
          <w:tab w:val="right" w:pos="9350" w:leader="dot"/>
        </w:tabs>
        <w:ind w:hanging="240" w:start="240"/>
        <w:outlineLvl w:val="0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Public Service Commission of Maryland v. Howard Research and Development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  <w:t>Corporation,</w:t>
      </w:r>
      <w:r>
        <w:rPr>
          <w:sz w:val="24"/>
          <w:lang w:val="en-CA"/>
        </w:rPr>
        <w:t xml:space="preserve"> 314 A.2d 682 (C.A. Md. 1974)</w:t>
        <w:tab/>
        <w:t>7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South Carolina v. Baker,</w:t>
      </w:r>
      <w:r>
        <w:rPr>
          <w:sz w:val="24"/>
          <w:lang w:val="en-CA"/>
        </w:rPr>
        <w:t xml:space="preserve"> 485 U.S. 505, 108 S.Ct. 1355 (1988)</w:t>
        <w:tab/>
        <w:t>21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>Stewart &amp; Co. v. Sadrakula,</w:t>
      </w:r>
      <w:r>
        <w:rPr>
          <w:sz w:val="24"/>
          <w:lang w:val="en-CA"/>
        </w:rPr>
        <w:t xml:space="preserve"> 309 U.S. 94, 60 S.Ct. 431 (1940)</w:t>
        <w:tab/>
        <w:t>24, 29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numPr>
          <w:ilvl w:val="0"/>
          <w:numId w:val="0"/>
        </w:numPr>
        <w:tabs>
          <w:tab w:val="clear" w:pos="720"/>
          <w:tab w:val="right" w:pos="9350" w:leader="dot"/>
        </w:tabs>
        <w:ind w:hanging="240" w:start="240"/>
        <w:outlineLvl w:val="0"/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United States, ex. rel., Taxpayers Against Fraud v. Link Flight Simulation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i/>
          <w:sz w:val="24"/>
          <w:lang w:val="en-CA"/>
        </w:rPr>
        <w:tab/>
        <w:t>Corporation,</w:t>
      </w:r>
      <w:r>
        <w:rPr>
          <w:sz w:val="24"/>
          <w:lang w:val="en-CA"/>
        </w:rPr>
        <w:t xml:space="preserve"> 722 F. Supp. 1248 (D. Md. 1989)</w:t>
        <w:tab/>
        <w:t>4, 34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  <w:t>West River Elec., Inc. v. Black Hills Power and Light Co.,</w:t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sz w:val="24"/>
          <w:lang w:val="en-CA"/>
        </w:rPr>
        <w:tab/>
        <w:t>918 F.2d 713 (8</w:t>
      </w:r>
      <w:r>
        <w:rPr>
          <w:sz w:val="24"/>
          <w:vertAlign w:val="superscript"/>
          <w:lang w:val="en-CA"/>
        </w:rPr>
        <w:t>th</w:t>
      </w:r>
      <w:r>
        <w:rPr>
          <w:sz w:val="24"/>
          <w:lang w:val="en-CA"/>
        </w:rPr>
        <w:t xml:space="preserve"> Cir. 1990)</w:t>
        <w:tab/>
        <w:t>25, 26, 28</w:t>
      </w:r>
    </w:p>
    <w:p>
      <w:pPr>
        <w:pStyle w:val="TOAHeading"/>
        <w:rPr>
          <w:rFonts w:ascii="Arial" w:hAnsi="Arial" w:cs="Arial"/>
          <w:b w:val="false"/>
          <w:sz w:val="24"/>
        </w:rPr>
      </w:pPr>
      <w:r/>
      <w:r>
        <w:rPr>
          <w:sz w:val="24"/>
          <w:lang w:val="en-CA"/>
        </w:rPr>
        <w:fldChar w:fldCharType="end"/>
      </w:r>
      <w:r>
        <w:rPr>
          <w:sz w:val="24"/>
          <w:lang w:val="en-CA"/>
        </w:rPr>
      </w:r>
    </w:p>
    <w:p>
      <w:pPr>
        <w:pStyle w:val="TOAHeading"/>
        <w:jc w:val="center"/>
        <w:rPr>
          <w:sz w:val="24"/>
        </w:rPr>
      </w:pPr>
      <w:r>
        <w:rPr>
          <w:sz w:val="24"/>
        </w:rPr>
        <w:t>CONSTITUTIONAL PROVISIONS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U.S. Const. Art. I, § 8, cl. 17</w:t>
        <w:tab/>
        <w:t>23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U.S. Const. Art. I, § 9, cl. 7</w:t>
        <w:tab/>
        <w:t>10, 19</w:t>
      </w:r>
      <w:r>
        <w:br w:type="page"/>
      </w:r>
    </w:p>
    <w:p>
      <w:pPr>
        <w:pStyle w:val="TOAHeading"/>
        <w:numPr>
          <w:ilvl w:val="0"/>
          <w:numId w:val="0"/>
        </w:numPr>
        <w:tabs>
          <w:tab w:val="clear" w:pos="720"/>
          <w:tab w:val="right" w:pos="9350" w:leader="dot"/>
        </w:tabs>
        <w:jc w:val="center"/>
        <w:outlineLvl w:val="0"/>
        <w:rPr>
          <w:b w:val="false"/>
          <w:sz w:val="24"/>
          <w:lang w:val="en-CA"/>
        </w:rPr>
      </w:pPr>
      <w:r>
        <w:fldChar w:fldCharType="begin"/>
      </w:r>
      <w:r>
        <w:rPr>
          <w:sz w:val="24"/>
          <w:lang w:val="en-CA"/>
        </w:rPr>
        <w:instrText xml:space="preserve"> TOA \h \c "2" \p </w:instrText>
      </w:r>
      <w:r>
        <w:rPr>
          <w:sz w:val="24"/>
          <w:lang w:val="en-CA"/>
        </w:rPr>
      </w:r>
      <w:r>
        <w:rPr>
          <w:sz w:val="24"/>
          <w:lang w:val="en-CA"/>
        </w:rPr>
        <w:fldChar w:fldCharType="separate"/>
      </w:r>
      <w:r>
        <w:t>FEDERAL Statutes AND PUBLIC LAWS</w:t>
      </w: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10 U.S.C. §§ 2301</w:t>
        <w:tab/>
        <w:t>16, 20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10 U.S. C. § 2304(a)(1)</w:t>
        <w:tab/>
        <w:t>21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10 U.S.C. § 2304(c)(1)</w:t>
        <w:tab/>
        <w:t>22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sz w:val="24"/>
          <w:lang w:val="en-CA"/>
        </w:rPr>
        <w:t>10 U.S.C. § 2688</w:t>
        <w:tab/>
      </w:r>
      <w:r>
        <w:rPr>
          <w:i/>
          <w:sz w:val="24"/>
          <w:lang w:val="en-CA"/>
        </w:rPr>
        <w:t>passim</w:t>
      </w:r>
    </w:p>
    <w:p>
      <w:pPr>
        <w:pStyle w:val="TableofAuthorities"/>
        <w:tabs>
          <w:tab w:val="clear" w:pos="720"/>
          <w:tab w:val="right" w:pos="9350" w:leader="dot"/>
        </w:tabs>
        <w:rPr>
          <w:i/>
          <w:i/>
          <w:sz w:val="24"/>
          <w:lang w:val="en-CA"/>
        </w:rPr>
      </w:pPr>
      <w:r>
        <w:rPr>
          <w:i/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15 U.S.C. § 717(b)</w:t>
        <w:tab/>
        <w:t>6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15 U.S.C. § 717(c)</w:t>
        <w:tab/>
        <w:t>6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/>
      </w:pPr>
      <w:r>
        <w:rPr/>
        <w:t xml:space="preserve">16 U.S.C. </w:t>
      </w:r>
      <w:r>
        <w:rPr>
          <w:lang w:val="en-CA"/>
        </w:rPr>
        <w:t xml:space="preserve">§ </w:t>
      </w:r>
      <w:r>
        <w:rPr/>
        <w:t>824(b)(1)……………………………………………………………………………..6</w:t>
      </w:r>
    </w:p>
    <w:p>
      <w:pPr>
        <w:pStyle w:val="Normal"/>
        <w:rPr/>
      </w:pPr>
      <w:r>
        <w:rPr/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31 U.S.C. § 1301(a)</w:t>
        <w:tab/>
        <w:t>10, 19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/>
      </w:pPr>
      <w:r>
        <w:rPr/>
        <w:t xml:space="preserve">40 U.S.C. </w:t>
      </w:r>
      <w:r>
        <w:rPr>
          <w:lang w:val="en-CA"/>
        </w:rPr>
        <w:t>§ 481(a)(3)…………………………………………………………………………….13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Department of Defense Appropriations Act of 1988, Pub. L. 100-202 </w:t>
      </w:r>
      <w:r>
        <w:rPr>
          <w:lang w:val="en-CA"/>
        </w:rPr>
        <w:t>§ 8093………….….</w:t>
      </w:r>
      <w:r>
        <w:rPr>
          <w:i/>
          <w:lang w:val="en-CA"/>
        </w:rPr>
        <w:t>passim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TOAHeading"/>
        <w:jc w:val="center"/>
        <w:rPr>
          <w:sz w:val="24"/>
        </w:rPr>
      </w:pPr>
      <w:r>
        <w:rPr>
          <w:sz w:val="24"/>
        </w:rPr>
        <w:t>STATE STATUTES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Maryland Code, Public Utility Companies Article (1999)</w:t>
        <w:tab/>
        <w:t>7, 8, 9, 16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OAHeading"/>
        <w:jc w:val="center"/>
        <w:rPr>
          <w:sz w:val="24"/>
          <w:lang w:val="en-CA"/>
        </w:rPr>
      </w:pPr>
      <w:r>
        <w:rPr>
          <w:sz w:val="24"/>
          <w:lang w:val="en-CA"/>
        </w:rPr>
        <w:t>FEDERAL REGULATIONS AND DIRECTIVES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6.302-1(a)(2)</w:t>
        <w:tab/>
        <w:t>22, 30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6.302-1(b)(3)</w:t>
        <w:tab/>
        <w:t>22</w:t>
      </w:r>
    </w:p>
    <w:p>
      <w:pPr>
        <w:pStyle w:val="TableofAuthorities"/>
        <w:rPr>
          <w:sz w:val="24"/>
          <w:lang w:val="en-CA"/>
        </w:rPr>
      </w:pPr>
      <w:r/>
      <w:r>
        <w:rPr>
          <w:sz w:val="24"/>
          <w:lang w:val="en-CA"/>
        </w:rPr>
        <w:fldChar w:fldCharType="end"/>
      </w: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41</w:t>
        <w:tab/>
      </w:r>
      <w:r>
        <w:rPr>
          <w:i/>
          <w:sz w:val="24"/>
          <w:lang w:val="en-CA"/>
        </w:rPr>
        <w:t>passim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41.201</w:t>
        <w:tab/>
        <w:t>17, 20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241</w:t>
        <w:tab/>
        <w:t>17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241.201(1)</w:t>
        <w:tab/>
        <w:t>18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  <w:t>48 C.F.R. § 241.202(a)(i)(A)(1)</w:t>
        <w:tab/>
        <w:t>18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/>
      </w:pPr>
      <w:r>
        <w:rPr/>
        <w:t>Department of Defense Reform Initiative No. 49 (Dec. 23, 1998)……………………….….12-15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OTHER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sz w:val="24"/>
          <w:lang w:val="en-CA"/>
        </w:rPr>
        <w:t>S. Rep. No. 817, 83</w:t>
      </w:r>
      <w:r>
        <w:rPr>
          <w:sz w:val="24"/>
          <w:vertAlign w:val="superscript"/>
          <w:lang w:val="en-CA"/>
        </w:rPr>
        <w:t>rd</w:t>
      </w:r>
      <w:r>
        <w:rPr>
          <w:sz w:val="24"/>
          <w:lang w:val="en-CA"/>
        </w:rPr>
        <w:t xml:space="preserve"> Cong., 2</w:t>
      </w:r>
      <w:r>
        <w:rPr>
          <w:sz w:val="24"/>
          <w:vertAlign w:val="superscript"/>
          <w:lang w:val="en-CA"/>
        </w:rPr>
        <w:t>nd</w:t>
      </w:r>
      <w:r>
        <w:rPr>
          <w:sz w:val="24"/>
          <w:lang w:val="en-CA"/>
        </w:rPr>
        <w:t xml:space="preserve"> Sess. 2102 (1954)</w:t>
        <w:tab/>
        <w:t>6</w:t>
      </w:r>
    </w:p>
    <w:p>
      <w:pPr>
        <w:pStyle w:val="TableofAuthorities"/>
        <w:tabs>
          <w:tab w:val="clear" w:pos="720"/>
          <w:tab w:val="right" w:pos="9350" w:leader="dot"/>
        </w:tabs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TableofAuthorities"/>
        <w:tabs>
          <w:tab w:val="clear" w:pos="720"/>
          <w:tab w:val="right" w:pos="9350" w:leader="dot"/>
        </w:tabs>
        <w:rPr/>
      </w:pPr>
      <w:r>
        <w:rPr>
          <w:sz w:val="24"/>
          <w:lang w:val="en-CA"/>
        </w:rPr>
        <w:t>S. Rep. No. 235, 100</w:t>
      </w:r>
      <w:r>
        <w:rPr>
          <w:sz w:val="24"/>
          <w:vertAlign w:val="superscript"/>
          <w:lang w:val="en-CA"/>
        </w:rPr>
        <w:t>th</w:t>
      </w:r>
      <w:r>
        <w:rPr>
          <w:sz w:val="24"/>
          <w:lang w:val="en-CA"/>
        </w:rPr>
        <w:t xml:space="preserve"> Cong., 1</w:t>
      </w:r>
      <w:r>
        <w:rPr>
          <w:sz w:val="24"/>
          <w:vertAlign w:val="superscript"/>
          <w:lang w:val="en-CA"/>
        </w:rPr>
        <w:t>st</w:t>
      </w:r>
      <w:r>
        <w:rPr>
          <w:sz w:val="24"/>
          <w:lang w:val="en-CA"/>
        </w:rPr>
        <w:t xml:space="preserve"> Sess. 70-71 (1987)</w:t>
        <w:tab/>
        <w:t>27</w:t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</w:r>
    </w:p>
    <w:p>
      <w:pPr>
        <w:pStyle w:val="Normal"/>
        <w:rPr/>
      </w:pPr>
      <w:r>
        <w:rPr/>
        <w:t>H.R. Rep. No. 410, 100</w:t>
      </w:r>
      <w:r>
        <w:rPr>
          <w:vertAlign w:val="superscript"/>
        </w:rPr>
        <w:t>th</w:t>
      </w:r>
      <w:r>
        <w:rPr/>
        <w:t xml:space="preserve"> Cong., 1</w:t>
      </w:r>
      <w:r>
        <w:rPr>
          <w:vertAlign w:val="superscript"/>
        </w:rPr>
        <w:t>st</w:t>
      </w:r>
      <w:r>
        <w:rPr/>
        <w:t xml:space="preserve"> Sess. 277 (1987)…………………………………………...27</w:t>
      </w:r>
      <w:r>
        <w:br w:type="page"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u w:val="single"/>
        </w:rPr>
      </w:pPr>
      <w:r>
        <w:rPr>
          <w:b/>
          <w:u w:val="single"/>
        </w:rPr>
        <w:t>INDEX TO EXHIBITS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7560" w:leader="none"/>
        </w:tabs>
        <w:rPr>
          <w:b/>
        </w:rPr>
      </w:pPr>
      <w:r>
        <w:rPr>
          <w:b/>
          <w:u w:val="single"/>
        </w:rPr>
        <w:t>EXHIBIT</w:t>
      </w:r>
      <w:r>
        <w:rPr/>
        <w:tab/>
      </w:r>
      <w:r>
        <w:rPr>
          <w:b/>
          <w:u w:val="single"/>
        </w:rPr>
        <w:t>TAB</w:t>
      </w:r>
    </w:p>
    <w:p>
      <w:pPr>
        <w:pStyle w:val="Normal"/>
        <w:tabs>
          <w:tab w:val="clear" w:pos="720"/>
          <w:tab w:val="left" w:pos="75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756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7650" w:leader="dot"/>
          <w:tab w:val="left" w:pos="7830" w:leader="none"/>
        </w:tabs>
        <w:rPr>
          <w:lang w:eastAsia="en-US"/>
        </w:rPr>
      </w:pPr>
      <w:r>
        <w:rPr>
          <w:lang w:eastAsia="en-US"/>
        </w:rPr>
        <w:t>Declaration of Monika S. Bay</w:t>
        <w:tab/>
        <w:tab/>
        <w:t>1</w:t>
      </w:r>
    </w:p>
    <w:p>
      <w:pPr>
        <w:pStyle w:val="Normal"/>
        <w:tabs>
          <w:tab w:val="clear" w:pos="720"/>
          <w:tab w:val="left" w:pos="7560" w:leader="none"/>
        </w:tabs>
        <w:rPr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tabs>
          <w:tab w:val="clear" w:pos="720"/>
          <w:tab w:val="left" w:pos="7560" w:leader="none"/>
        </w:tabs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2"/>
      <w:type w:val="nextPage"/>
      <w:pgSz w:w="12240" w:h="15840"/>
      <w:pgMar w:left="1440" w:right="1440" w:gutter="0" w:header="0" w:top="1440" w:footer="720" w:bottom="1872"/>
      <w:pgNumType w:fmt="lowerRoman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age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vii</w:t>
    </w:r>
    <w:r>
      <w:rPr/>
      <w:fldChar w:fldCharType="end"/>
    </w:r>
    <w:r>
      <w:rPr/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MarkCheckBox" w:val="FALSE"/>
    <w:docVar w:name="ShowScreenCheckBox" w:val="TRU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480" w:after="0"/>
      <w:jc w:val="center"/>
      <w:outlineLvl w:val="0"/>
    </w:pPr>
    <w:rPr>
      <w:b/>
      <w:caps/>
      <w:color w:val="000080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360" w:after="0"/>
      <w:outlineLvl w:val="1"/>
    </w:pPr>
    <w:rPr>
      <w:caps w:val="false"/>
      <w:smallCaps w:val="false"/>
      <w:color w:val="8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jc w:val="start"/>
      <w:outlineLvl w:val="2"/>
    </w:pPr>
    <w:rPr>
      <w:color w:val="008000"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i/>
      <w:color w:val="auto"/>
    </w:rPr>
  </w:style>
  <w:style w:type="paragraph" w:styleId="Heading5">
    <w:name w:val="heading 5"/>
    <w:basedOn w:val="Heading4"/>
    <w:next w:val="BodyText"/>
    <w:qFormat/>
    <w:pPr>
      <w:numPr>
        <w:ilvl w:val="4"/>
        <w:numId w:val="1"/>
      </w:numPr>
      <w:outlineLvl w:val="4"/>
    </w:pPr>
    <w:rPr>
      <w:b w:val="fals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trike w:val="false"/>
      <w:dstrike w:val="false"/>
      <w:color w:val="FF0000"/>
      <w:sz w:val="20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BodyText"/>
    <w:next w:val="BodyText"/>
    <w:qFormat/>
    <w:pPr>
      <w:spacing w:lineRule="auto" w:line="480" w:before="240" w:after="60"/>
      <w:jc w:val="center"/>
      <w:outlineLvl w:val="0"/>
    </w:pPr>
    <w:rPr>
      <w:rFonts w:ascii="Arial" w:hAnsi="Arial" w:cs="Arial"/>
      <w:b/>
      <w:smallCaps/>
      <w:kern w:val="2"/>
      <w:sz w:val="28"/>
    </w:rPr>
  </w:style>
  <w:style w:type="paragraph" w:styleId="BodyText">
    <w:name w:val="Body Text"/>
    <w:basedOn w:val="Normal"/>
    <w:pPr>
      <w:spacing w:before="240" w:after="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Page">
    <w:name w:val="Page#"/>
    <w:basedOn w:val="Normal"/>
    <w:qFormat/>
    <w:pPr>
      <w:jc w:val="center"/>
    </w:pPr>
    <w:rPr>
      <w:color w:val="000000"/>
    </w:rPr>
  </w:style>
  <w:style w:type="paragraph" w:styleId="footerinfo">
    <w:name w:val="footerinfo"/>
    <w:basedOn w:val="Normal"/>
    <w:qFormat/>
    <w:pPr>
      <w:jc w:val="start"/>
    </w:pPr>
    <w:rPr>
      <w:rFonts w:ascii="Arial" w:hAnsi="Arial" w:cs="Arial"/>
      <w:color w:val="000000"/>
      <w:sz w:val="16"/>
    </w:rPr>
  </w:style>
  <w:style w:type="paragraph" w:styleId="Footer">
    <w:name w:val="footer"/>
    <w:basedOn w:val="Normal"/>
    <w:pPr>
      <w:tabs>
        <w:tab w:val="clear" w:pos="720"/>
        <w:tab w:val="center" w:pos="4147" w:leader="none"/>
        <w:tab w:val="right" w:pos="8280" w:leader="none"/>
      </w:tabs>
    </w:pPr>
    <w:rPr>
      <w:color w:val="000000"/>
    </w:rPr>
  </w:style>
  <w:style w:type="paragraph" w:styleId="envelopereturn1">
    <w:name w:val="envelope return1"/>
    <w:basedOn w:val="Normal"/>
    <w:qFormat/>
    <w:pPr>
      <w:jc w:val="start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address1">
    <w:name w:val="envelope address1"/>
    <w:basedOn w:val="Normal"/>
    <w:qFormat/>
    <w:pPr>
      <w:ind w:hanging="0" w:start="2880" w:end="0"/>
      <w:jc w:val="start"/>
    </w:pPr>
    <w:rPr/>
  </w:style>
  <w:style w:type="paragraph" w:styleId="EnvelopeReturn">
    <w:name w:val="envelope return"/>
    <w:basedOn w:val="Normal"/>
    <w:pPr/>
    <w:rPr/>
  </w:style>
  <w:style w:type="paragraph" w:styleId="bodynoident">
    <w:name w:val="body no ident"/>
    <w:basedOn w:val="BodyText"/>
    <w:next w:val="BodyText"/>
    <w:qFormat/>
    <w:pPr>
      <w:ind w:hanging="0" w:start="0" w:end="0"/>
    </w:pPr>
    <w:rPr/>
  </w:style>
  <w:style w:type="paragraph" w:styleId="FootnoteText">
    <w:name w:val="footnote text"/>
    <w:basedOn w:val="Normal"/>
    <w:pPr>
      <w:spacing w:before="240" w:after="0"/>
      <w:ind w:hanging="864" w:start="950" w:end="0"/>
      <w:jc w:val="start"/>
    </w:pPr>
    <w:rPr>
      <w:sz w:val="20"/>
    </w:rPr>
  </w:style>
  <w:style w:type="paragraph" w:styleId="ListBullet2">
    <w:name w:val="List Bullet 2"/>
    <w:basedOn w:val="Normal"/>
    <w:pPr>
      <w:spacing w:before="240" w:after="0"/>
      <w:ind w:hanging="360" w:start="1080" w:end="0"/>
    </w:pPr>
    <w:rPr/>
  </w:style>
  <w:style w:type="paragraph" w:styleId="List2d">
    <w:name w:val="List 2.d"/>
    <w:basedOn w:val="ListBullet2"/>
    <w:qFormat/>
    <w:pPr>
      <w:tabs>
        <w:tab w:val="clear" w:pos="720"/>
        <w:tab w:val="decimal" w:pos="1224" w:leader="none"/>
      </w:tabs>
      <w:ind w:hanging="720" w:start="2160" w:end="0"/>
    </w:pPr>
    <w:rPr/>
  </w:style>
  <w:style w:type="paragraph" w:styleId="ListBullet3">
    <w:name w:val="List Bullet 3"/>
    <w:basedOn w:val="ListBullet2"/>
    <w:pPr>
      <w:ind w:hanging="360" w:start="1440" w:end="0"/>
    </w:pPr>
    <w:rPr/>
  </w:style>
  <w:style w:type="paragraph" w:styleId="List3d">
    <w:name w:val="List 3.d"/>
    <w:basedOn w:val="ListBullet3"/>
    <w:qFormat/>
    <w:pPr>
      <w:tabs>
        <w:tab w:val="clear" w:pos="720"/>
        <w:tab w:val="decimal" w:pos="1944" w:leader="none"/>
      </w:tabs>
      <w:ind w:hanging="720" w:start="2880" w:end="0"/>
    </w:pPr>
    <w:rPr/>
  </w:style>
  <w:style w:type="paragraph" w:styleId="ListBullet4">
    <w:name w:val="List Bullet 4"/>
    <w:basedOn w:val="ListBullet3"/>
    <w:pPr>
      <w:ind w:hanging="360" w:start="1800" w:end="0"/>
    </w:pPr>
    <w:rPr/>
  </w:style>
  <w:style w:type="paragraph" w:styleId="List4d">
    <w:name w:val="List 4.d"/>
    <w:basedOn w:val="ListBullet4"/>
    <w:qFormat/>
    <w:pPr>
      <w:tabs>
        <w:tab w:val="clear" w:pos="720"/>
        <w:tab w:val="decimal" w:pos="2664" w:leader="none"/>
      </w:tabs>
      <w:ind w:hanging="720" w:start="3600" w:end="0"/>
    </w:pPr>
    <w:rPr/>
  </w:style>
  <w:style w:type="paragraph" w:styleId="ListBullet5">
    <w:name w:val="List Bullet 5"/>
    <w:basedOn w:val="ListBullet4"/>
    <w:pPr>
      <w:ind w:hanging="360" w:start="2160" w:end="0"/>
    </w:pPr>
    <w:rPr/>
  </w:style>
  <w:style w:type="paragraph" w:styleId="List5d">
    <w:name w:val="List 5.d"/>
    <w:basedOn w:val="ListBullet5"/>
    <w:qFormat/>
    <w:pPr>
      <w:tabs>
        <w:tab w:val="clear" w:pos="720"/>
        <w:tab w:val="decimal" w:pos="3384" w:leader="none"/>
      </w:tabs>
      <w:ind w:hanging="720" w:start="4320" w:end="0"/>
    </w:pPr>
    <w:rPr/>
  </w:style>
  <w:style w:type="paragraph" w:styleId="NormalIndent">
    <w:name w:val="Normal Indent"/>
    <w:basedOn w:val="Normal"/>
    <w:qFormat/>
    <w:pPr>
      <w:spacing w:before="240" w:after="0"/>
      <w:ind w:hanging="0" w:start="72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8640" w:leader="dot"/>
      </w:tabs>
      <w:spacing w:before="120" w:after="0"/>
      <w:ind w:hanging="360" w:start="360" w:end="2250"/>
    </w:pPr>
    <w:rPr>
      <w:rFonts w:ascii="Arial" w:hAnsi="Arial" w:cs="Arial"/>
      <w:b/>
      <w:lang w:val="en-CA"/>
    </w:rPr>
  </w:style>
  <w:style w:type="paragraph" w:styleId="TOC2">
    <w:name w:val="toc 2"/>
    <w:basedOn w:val="TOC1"/>
    <w:next w:val="Normal"/>
    <w:pPr>
      <w:tabs>
        <w:tab w:val="left" w:pos="1170" w:leader="none"/>
        <w:tab w:val="left" w:pos="8640" w:leader="dot"/>
        <w:tab w:val="decimal" w:pos="8910" w:leader="none"/>
        <w:tab w:val="left" w:pos="9180" w:leader="dot"/>
      </w:tabs>
      <w:spacing w:before="60" w:after="0"/>
      <w:ind w:hanging="450" w:start="1170" w:end="2250"/>
    </w:pPr>
    <w:rPr>
      <w:rFonts w:ascii="Times New Roman" w:hAnsi="Times New Roman" w:cs="Times New Roman"/>
      <w:b w:val="false"/>
    </w:rPr>
  </w:style>
  <w:style w:type="paragraph" w:styleId="TOC3">
    <w:name w:val="toc 3"/>
    <w:basedOn w:val="TOC2"/>
    <w:next w:val="Normal"/>
    <w:pPr>
      <w:tabs>
        <w:tab w:val="clear" w:pos="8640"/>
        <w:tab w:val="left" w:pos="1170" w:leader="none"/>
        <w:tab w:val="decimal" w:pos="8820" w:leader="dot"/>
        <w:tab w:val="decimal" w:pos="8910" w:leader="none"/>
        <w:tab w:val="left" w:pos="9180" w:leader="none"/>
      </w:tabs>
      <w:ind w:hanging="540" w:start="1620" w:end="2250"/>
    </w:pPr>
    <w:rPr/>
  </w:style>
  <w:style w:type="paragraph" w:styleId="TOC4">
    <w:name w:val="toc 4"/>
    <w:basedOn w:val="TOC3"/>
    <w:next w:val="Normal"/>
    <w:pPr>
      <w:ind w:hanging="540" w:start="1800" w:end="2250"/>
    </w:pPr>
    <w:rPr>
      <w:u w:val="none"/>
    </w:rPr>
  </w:style>
  <w:style w:type="paragraph" w:styleId="TOC5">
    <w:name w:val="toc 5"/>
    <w:basedOn w:val="TOC4"/>
    <w:next w:val="Normal"/>
    <w:pPr>
      <w:ind w:hanging="540" w:start="2160" w:end="2250"/>
    </w:pPr>
    <w:rPr/>
  </w:style>
  <w:style w:type="paragraph" w:styleId="Quote">
    <w:name w:val="Quote"/>
    <w:basedOn w:val="Normal"/>
    <w:qFormat/>
    <w:pPr>
      <w:spacing w:before="240" w:after="0"/>
      <w:ind w:hanging="0" w:start="1440" w:end="1440"/>
    </w:pPr>
    <w:rPr/>
  </w:style>
  <w:style w:type="paragraph" w:styleId="bodytext1">
    <w:name w:val="body text1"/>
    <w:basedOn w:val="Normal"/>
    <w:qFormat/>
    <w:pPr>
      <w:spacing w:before="240" w:after="0"/>
      <w:ind w:firstLine="720" w:start="0" w:end="0"/>
    </w:pPr>
    <w:rPr/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>
      <w:sz w:val="20"/>
    </w:rPr>
  </w:style>
  <w:style w:type="paragraph" w:styleId="TOAHeading">
    <w:name w:val="TOA Heading"/>
    <w:basedOn w:val="Normal"/>
    <w:next w:val="Normal"/>
    <w:qFormat/>
    <w:pPr>
      <w:spacing w:before="240" w:after="120"/>
    </w:pPr>
    <w:rPr>
      <w:b/>
      <w:caps/>
      <w:sz w:val="20"/>
    </w:rPr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en-US" w:bidi="hi-I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OC6">
    <w:name w:val="toc 6"/>
    <w:basedOn w:val="Normal"/>
    <w:next w:val="Normal"/>
    <w:pPr>
      <w:ind w:hanging="0" w:start="1200" w:end="0"/>
    </w:pPr>
    <w:rPr/>
  </w:style>
  <w:style w:type="paragraph" w:styleId="TOC7">
    <w:name w:val="toc 7"/>
    <w:basedOn w:val="Normal"/>
    <w:next w:val="Normal"/>
    <w:pPr>
      <w:ind w:hanging="0" w:start="1440" w:end="0"/>
    </w:pPr>
    <w:rPr/>
  </w:style>
  <w:style w:type="paragraph" w:styleId="TOC8">
    <w:name w:val="toc 8"/>
    <w:basedOn w:val="Normal"/>
    <w:next w:val="Normal"/>
    <w:pPr>
      <w:ind w:hanging="0" w:start="1680" w:end="0"/>
    </w:pPr>
    <w:rPr/>
  </w:style>
  <w:style w:type="paragraph" w:styleId="TOC9">
    <w:name w:val="toc 9"/>
    <w:basedOn w:val="Normal"/>
    <w:next w:val="Normal"/>
    <w:pPr>
      <w:ind w:hanging="0" w:start="19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2000-08-26T00:03:00Z</dcterms:created>
  <dc:creator>m800</dc:creator>
  <dc:description/>
  <dc:language>en-CA</dc:language>
  <cp:lastModifiedBy>m800</cp:lastModifiedBy>
  <cp:lastPrinted>2000-08-27T18:27:00Z</cp:lastPrinted>
  <dcterms:modified xsi:type="dcterms:W3CDTF">2000-08-27T19:58:00Z</dcterms:modified>
  <cp:revision>5</cp:revision>
  <dc:subject/>
  <dc:title>UNITED STATES DISTRICT COURT</dc:title>
</cp:coreProperties>
</file>