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rPr>
      </w:pPr>
      <w:r>
        <w:rPr>
          <w:rFonts w:cs="Arial" w:ascii="Arial" w:hAnsi="Arial"/>
          <w:b/>
        </w:rPr>
        <w:t>UNITED STATES DISTRICT COURT</w:t>
      </w:r>
    </w:p>
    <w:p>
      <w:pPr>
        <w:pStyle w:val="Normal"/>
        <w:jc w:val="center"/>
        <w:rPr>
          <w:rFonts w:ascii="Arial" w:hAnsi="Arial" w:cs="Arial"/>
          <w:b/>
        </w:rPr>
      </w:pPr>
      <w:r>
        <w:rPr>
          <w:rFonts w:cs="Arial" w:ascii="Arial" w:hAnsi="Arial"/>
          <w:b/>
        </w:rPr>
        <w:t>DISTRICT OF MARYLAND</w:t>
      </w:r>
    </w:p>
    <w:p>
      <w:pPr>
        <w:pStyle w:val="Normal"/>
        <w:jc w:val="center"/>
        <w:rPr>
          <w:rFonts w:ascii="Arial" w:hAnsi="Arial" w:cs="Arial"/>
          <w:b/>
        </w:rPr>
      </w:pPr>
      <w:r>
        <w:rPr>
          <w:rFonts w:cs="Arial" w:ascii="Arial" w:hAnsi="Arial"/>
          <w:b/>
        </w:rPr>
      </w:r>
    </w:p>
    <w:p>
      <w:pPr>
        <w:pStyle w:val="Normal"/>
        <w:rPr>
          <w:b/>
          <w:u w:val="single"/>
        </w:rPr>
      </w:pPr>
      <w:r>
        <w:rPr>
          <w:b/>
          <w:u w:val="single"/>
        </w:rPr>
        <w:tab/>
        <w:tab/>
        <w:tab/>
        <w:tab/>
        <w:tab/>
        <w:tab/>
        <w:tab/>
        <w:tab/>
      </w:r>
    </w:p>
    <w:p>
      <w:pPr>
        <w:pStyle w:val="Normal"/>
        <w:rPr>
          <w:b/>
        </w:rPr>
      </w:pPr>
      <w:r>
        <w:rPr>
          <w:b/>
        </w:rPr>
        <w:tab/>
        <w:tab/>
        <w:tab/>
        <w:tab/>
        <w:tab/>
        <w:tab/>
        <w:tab/>
        <w:tab/>
        <w:t>)</w:t>
      </w:r>
    </w:p>
    <w:p>
      <w:pPr>
        <w:pStyle w:val="Normal"/>
        <w:rPr>
          <w:b/>
        </w:rPr>
      </w:pPr>
      <w:r>
        <w:rPr>
          <w:b/>
        </w:rPr>
        <w:t>BALTIMORE GAS AND ELECTRIC COMPANY,</w:t>
        <w:tab/>
        <w:t>)</w:t>
      </w:r>
    </w:p>
    <w:p>
      <w:pPr>
        <w:pStyle w:val="Normal"/>
        <w:rPr>
          <w:b/>
        </w:rPr>
      </w:pPr>
      <w:r>
        <w:rPr>
          <w:b/>
        </w:rPr>
        <w:tab/>
        <w:tab/>
        <w:tab/>
        <w:tab/>
        <w:tab/>
        <w:tab/>
        <w:tab/>
        <w:tab/>
        <w:t>)</w:t>
      </w:r>
    </w:p>
    <w:p>
      <w:pPr>
        <w:pStyle w:val="Normal"/>
        <w:rPr>
          <w:b/>
        </w:rPr>
      </w:pPr>
      <w:r>
        <w:rPr>
          <w:b/>
        </w:rPr>
        <w:tab/>
        <w:tab/>
        <w:tab/>
        <w:tab/>
        <w:tab/>
        <w:t>Plaintiff,</w:t>
        <w:tab/>
        <w:tab/>
        <w:t>)</w:t>
      </w:r>
    </w:p>
    <w:p>
      <w:pPr>
        <w:pStyle w:val="Normal"/>
        <w:rPr>
          <w:b/>
        </w:rPr>
      </w:pPr>
      <w:r>
        <w:rPr>
          <w:b/>
        </w:rPr>
        <w:tab/>
        <w:tab/>
        <w:tab/>
        <w:tab/>
        <w:tab/>
        <w:tab/>
        <w:tab/>
        <w:tab/>
        <w:t>)</w:t>
      </w:r>
    </w:p>
    <w:p>
      <w:pPr>
        <w:pStyle w:val="Normal"/>
        <w:rPr>
          <w:b/>
        </w:rPr>
      </w:pPr>
      <w:r>
        <w:rPr>
          <w:b/>
        </w:rPr>
        <w:tab/>
        <w:tab/>
        <w:t>v.</w:t>
        <w:tab/>
        <w:tab/>
        <w:tab/>
        <w:tab/>
        <w:tab/>
        <w:tab/>
        <w:t>)</w:t>
        <w:tab/>
        <w:t>Civil Action No.  _________</w:t>
      </w:r>
    </w:p>
    <w:p>
      <w:pPr>
        <w:pStyle w:val="Normal"/>
        <w:rPr>
          <w:b/>
        </w:rPr>
      </w:pPr>
      <w:r>
        <w:rPr>
          <w:b/>
        </w:rPr>
        <w:tab/>
        <w:tab/>
        <w:tab/>
        <w:tab/>
        <w:tab/>
        <w:tab/>
        <w:tab/>
        <w:tab/>
        <w:t>)</w:t>
      </w:r>
    </w:p>
    <w:p>
      <w:pPr>
        <w:pStyle w:val="Normal"/>
        <w:rPr>
          <w:b/>
        </w:rPr>
      </w:pPr>
      <w:r>
        <w:rPr>
          <w:b/>
        </w:rPr>
        <w:t>THE UNITED STATES</w:t>
        <w:tab/>
        <w:tab/>
        <w:tab/>
        <w:tab/>
        <w:tab/>
        <w:t>)</w:t>
      </w:r>
    </w:p>
    <w:p>
      <w:pPr>
        <w:pStyle w:val="Normal"/>
        <w:rPr>
          <w:b/>
        </w:rPr>
      </w:pPr>
      <w:r>
        <w:rPr>
          <w:b/>
        </w:rPr>
        <w:tab/>
        <w:tab/>
        <w:tab/>
        <w:tab/>
        <w:tab/>
        <w:tab/>
        <w:tab/>
        <w:tab/>
        <w:t>)</w:t>
      </w:r>
    </w:p>
    <w:p>
      <w:pPr>
        <w:pStyle w:val="Normal"/>
        <w:rPr>
          <w:b/>
        </w:rPr>
      </w:pPr>
      <w:r>
        <w:rPr>
          <w:b/>
        </w:rPr>
        <w:tab/>
        <w:tab/>
        <w:t>and</w:t>
        <w:tab/>
        <w:tab/>
        <w:tab/>
        <w:tab/>
        <w:tab/>
        <w:tab/>
        <w:t>)</w:t>
      </w:r>
    </w:p>
    <w:p>
      <w:pPr>
        <w:pStyle w:val="Normal"/>
        <w:rPr>
          <w:b/>
        </w:rPr>
      </w:pPr>
      <w:r>
        <w:rPr>
          <w:b/>
        </w:rPr>
        <w:tab/>
        <w:tab/>
        <w:tab/>
        <w:tab/>
        <w:tab/>
        <w:tab/>
        <w:tab/>
        <w:tab/>
        <w:t>)</w:t>
      </w:r>
    </w:p>
    <w:p>
      <w:pPr>
        <w:pStyle w:val="Normal"/>
        <w:rPr>
          <w:b/>
        </w:rPr>
      </w:pPr>
      <w:r>
        <w:rPr>
          <w:b/>
        </w:rPr>
        <w:t>LOUIS CALDERA,</w:t>
        <w:tab/>
        <w:tab/>
        <w:tab/>
        <w:tab/>
        <w:tab/>
        <w:tab/>
        <w:t>)</w:t>
      </w:r>
    </w:p>
    <w:p>
      <w:pPr>
        <w:pStyle w:val="Normal"/>
        <w:rPr>
          <w:b/>
        </w:rPr>
      </w:pPr>
      <w:r>
        <w:rPr>
          <w:b/>
        </w:rPr>
        <w:t>Secretary of the Army,</w:t>
        <w:tab/>
        <w:tab/>
        <w:tab/>
        <w:tab/>
        <w:tab/>
        <w:t>)</w:t>
      </w:r>
    </w:p>
    <w:p>
      <w:pPr>
        <w:pStyle w:val="Normal"/>
        <w:rPr>
          <w:b/>
        </w:rPr>
      </w:pPr>
      <w:r>
        <w:rPr>
          <w:b/>
        </w:rPr>
        <w:tab/>
        <w:tab/>
        <w:tab/>
        <w:tab/>
        <w:tab/>
        <w:tab/>
        <w:tab/>
        <w:tab/>
        <w:t>)</w:t>
      </w:r>
    </w:p>
    <w:p>
      <w:pPr>
        <w:pStyle w:val="Normal"/>
        <w:rPr>
          <w:b/>
        </w:rPr>
      </w:pPr>
      <w:r>
        <w:rPr>
          <w:b/>
        </w:rPr>
        <w:tab/>
        <w:tab/>
        <w:tab/>
        <w:tab/>
        <w:tab/>
        <w:t>Defendants.</w:t>
        <w:tab/>
        <w:tab/>
        <w:t>)</w:t>
      </w:r>
    </w:p>
    <w:p>
      <w:pPr>
        <w:pStyle w:val="Normal"/>
        <w:rPr>
          <w:b/>
          <w:u w:val="single"/>
        </w:rPr>
      </w:pPr>
      <w:r>
        <w:rPr>
          <w:b/>
          <w:u w:val="single"/>
        </w:rPr>
        <w:tab/>
        <w:tab/>
        <w:tab/>
        <w:tab/>
        <w:tab/>
        <w:tab/>
        <w:tab/>
        <w:tab/>
        <w:t>)</w:t>
      </w:r>
    </w:p>
    <w:p>
      <w:pPr>
        <w:pStyle w:val="Normal"/>
        <w:rPr>
          <w:b/>
          <w:u w:val="single"/>
        </w:rPr>
      </w:pPr>
      <w:r>
        <w:rPr>
          <w:b/>
          <w:u w:val="single"/>
        </w:rPr>
      </w:r>
    </w:p>
    <w:p>
      <w:pPr>
        <w:pStyle w:val="Normal"/>
        <w:rPr>
          <w:b/>
        </w:rPr>
      </w:pPr>
      <w:r>
        <w:rPr>
          <w:b/>
        </w:rPr>
      </w:r>
    </w:p>
    <w:p>
      <w:pPr>
        <w:pStyle w:val="Normal"/>
        <w:jc w:val="center"/>
        <w:rPr>
          <w:rFonts w:ascii="Arial" w:hAnsi="Arial" w:cs="Arial"/>
          <w:b/>
          <w:u w:val="single"/>
        </w:rPr>
      </w:pPr>
      <w:r>
        <w:rPr>
          <w:rFonts w:cs="Arial" w:ascii="Arial" w:hAnsi="Arial"/>
          <w:b/>
          <w:u w:val="single"/>
        </w:rPr>
        <w:t>DECLARATION OF MONIKA S. BAY</w:t>
      </w:r>
    </w:p>
    <w:p>
      <w:pPr>
        <w:pStyle w:val="Normal"/>
        <w:jc w:val="center"/>
        <w:rPr>
          <w:rFonts w:ascii="Arial" w:hAnsi="Arial" w:cs="Arial"/>
          <w:b/>
          <w:u w:val="single"/>
        </w:rPr>
      </w:pPr>
      <w:r>
        <w:rPr>
          <w:rFonts w:cs="Arial" w:ascii="Arial" w:hAnsi="Arial"/>
          <w:b/>
          <w:u w:val="single"/>
        </w:rPr>
      </w:r>
    </w:p>
    <w:p>
      <w:pPr>
        <w:pStyle w:val="BodyText"/>
        <w:spacing w:lineRule="auto" w:line="480"/>
        <w:jc w:val="both"/>
        <w:rPr/>
      </w:pPr>
      <w:r>
        <w:rPr/>
        <w:t>I, Monika S. Bay, do swear and affirm that the following statements are true and accurate to the best of my knowledge and belief:</w:t>
      </w:r>
    </w:p>
    <w:p>
      <w:pPr>
        <w:pStyle w:val="bodytext1"/>
        <w:spacing w:lineRule="auto" w:line="480"/>
        <w:jc w:val="both"/>
        <w:rPr/>
      </w:pPr>
      <w:r>
        <w:rPr/>
        <w:t>1.</w:t>
        <w:tab/>
        <w:t>I am the Director of Federal Utility Programs for Baltimore Gas and Electric Company (“BGE”).  I give this declaration in support of Plaintiff’s motion for preliminary injunction in the above-captioned bid protest action.</w:t>
      </w:r>
    </w:p>
    <w:p>
      <w:pPr>
        <w:pStyle w:val="bodytext1"/>
        <w:spacing w:lineRule="auto" w:line="480"/>
        <w:jc w:val="both"/>
        <w:rPr/>
      </w:pPr>
      <w:r>
        <w:rPr/>
        <w:t>2.</w:t>
        <w:tab/>
        <w:t>I am responsible for development, implementation and management of BGE’s federal government utility privatization program.  Accordingly, I am responsible for the development of BGE’s proposal and overall response to the Army’s Consolidated Utility Privatization Solicitation (RFP. No. DACA31-00-R-0026) for Fort Meade.</w:t>
      </w:r>
    </w:p>
    <w:p>
      <w:pPr>
        <w:pStyle w:val="bodytext1"/>
        <w:spacing w:lineRule="auto" w:line="480"/>
        <w:jc w:val="both"/>
        <w:rPr/>
      </w:pPr>
      <w:r>
        <w:rPr/>
        <w:t>3.</w:t>
        <w:tab/>
        <w:t>BGE will suffer irreparable harm, in the event the Army is permitted to award the utility privatization contract for Fort Meade under the current terms of the Solicitation.  The Army contract for privatization of Fort Meade’s electric and natural gas distribution systems represents an important business opportunity for BGE.  By BGE’s estimation, the Fort Meade privatization contract represents a potential growth to BGE’s utility distribution systems of more than 1,300 natural gas and 1,200 electric connections.</w:t>
      </w:r>
    </w:p>
    <w:p>
      <w:pPr>
        <w:pStyle w:val="bodytext1"/>
        <w:spacing w:lineRule="auto" w:line="480"/>
        <w:jc w:val="both"/>
        <w:rPr/>
      </w:pPr>
      <w:r>
        <w:rPr/>
        <w:t>4.</w:t>
        <w:tab/>
        <w:t>The State of Maryland and Anne Arundel County have granted BGE -- and no other entity -- the requisite service territory and franchise rights to provide utility distribution services in the Fort Meade area.  In return, BGE is legally obligated to provide utility distribution services to customers in that area.  The Army’s actions threaten to violate BGE’s service territory and franchise rights granted under Maryland law and PSC rulings, by potentially awarding a utility services contract to an entity not authorized to provide utility services in the Fort Meade area.</w:t>
      </w:r>
    </w:p>
    <w:p>
      <w:pPr>
        <w:pStyle w:val="bodytext1"/>
        <w:spacing w:lineRule="auto" w:line="480"/>
        <w:jc w:val="both"/>
        <w:rPr/>
      </w:pPr>
      <w:r>
        <w:rPr/>
        <w:t>Executed this ____ day of August 2000.</w:t>
      </w:r>
    </w:p>
    <w:p>
      <w:pPr>
        <w:pStyle w:val="bodytext1"/>
        <w:jc w:val="both"/>
        <w:rPr/>
      </w:pPr>
      <w:r>
        <w:rPr/>
        <w:tab/>
        <w:tab/>
        <w:tab/>
        <w:tab/>
        <w:tab/>
        <w:tab/>
        <w:tab/>
      </w:r>
      <w:r>
        <w:rPr>
          <w:u w:val="single"/>
        </w:rPr>
        <w:tab/>
        <w:tab/>
        <w:tab/>
        <w:tab/>
        <w:tab/>
        <w:br/>
      </w:r>
      <w:r>
        <w:rPr/>
        <w:tab/>
        <w:tab/>
        <w:tab/>
        <w:tab/>
        <w:tab/>
        <w:tab/>
        <w:tab/>
        <w:tab/>
        <w:t>Monika S. Bay</w:t>
      </w:r>
    </w:p>
    <w:p>
      <w:pPr>
        <w:pStyle w:val="bodytext1"/>
        <w:jc w:val="both"/>
        <w:rPr/>
      </w:pPr>
      <w:r>
        <w:rPr/>
      </w:r>
    </w:p>
    <w:p>
      <w:pPr>
        <w:pStyle w:val="bodytext1"/>
        <w:jc w:val="both"/>
        <w:rPr/>
      </w:pPr>
      <w:r>
        <w:rPr/>
        <w:t>Subscribed and sworn before me this ____ day of August 2000.</w:t>
      </w:r>
    </w:p>
    <w:p>
      <w:pPr>
        <w:pStyle w:val="bodytext1"/>
        <w:jc w:val="both"/>
        <w:rPr/>
      </w:pPr>
      <w:r>
        <w:rPr/>
        <w:tab/>
        <w:tab/>
        <w:tab/>
        <w:tab/>
        <w:tab/>
        <w:tab/>
        <w:tab/>
      </w:r>
      <w:r>
        <w:rPr>
          <w:u w:val="single"/>
        </w:rPr>
        <w:tab/>
        <w:tab/>
        <w:tab/>
        <w:tab/>
        <w:tab/>
        <w:br/>
      </w:r>
      <w:r>
        <w:rPr/>
        <w:tab/>
        <w:tab/>
        <w:tab/>
        <w:tab/>
        <w:tab/>
        <w:tab/>
        <w:tab/>
        <w:tab/>
        <w:t>Notary Public</w:t>
      </w:r>
    </w:p>
    <w:p>
      <w:pPr>
        <w:pStyle w:val="bodytext1"/>
        <w:rPr/>
      </w:pPr>
      <w:r>
        <w:rPr/>
        <w:tab/>
        <w:tab/>
        <w:tab/>
        <w:tab/>
        <w:tab/>
        <w:tab/>
        <w:tab/>
        <w:t>My Commission Expires:</w:t>
        <w:br/>
        <w:tab/>
        <w:tab/>
        <w:tab/>
        <w:tab/>
        <w:tab/>
        <w:tab/>
        <w:tab/>
        <w:tab/>
      </w:r>
      <w:r>
        <w:rPr>
          <w:u w:val="single"/>
        </w:rPr>
        <w:tab/>
        <w:tab/>
        <w:tab/>
        <w:tab/>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87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~WASH1:314034:2:</w:t>
    </w:r>
    <w:r>
      <w:rPr>
        <w:rFonts w:cs="Arial" w:ascii="Arial" w:hAnsi="Arial"/>
        <w:vanish/>
        <w:sz w:val="16"/>
      </w:rPr>
      <w:t>|</w:t>
    </w:r>
    <w:r>
      <w:rPr>
        <w:rFonts w:cs="Arial" w:ascii="Arial" w:hAnsi="Arial"/>
        <w:sz w:val="16"/>
      </w:rPr>
      <w:t>8/22/00</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docVars>
    <w:docVar w:name="MarkCheckBox" w:val="FALS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480" w:after="0"/>
      <w:jc w:val="center"/>
      <w:outlineLvl w:val="0"/>
    </w:pPr>
    <w:rPr>
      <w:b/>
      <w:caps/>
      <w:color w:val="000080"/>
    </w:rPr>
  </w:style>
  <w:style w:type="paragraph" w:styleId="Heading2">
    <w:name w:val="heading 2"/>
    <w:basedOn w:val="Heading1"/>
    <w:next w:val="Normal"/>
    <w:qFormat/>
    <w:pPr>
      <w:numPr>
        <w:ilvl w:val="1"/>
        <w:numId w:val="1"/>
      </w:numPr>
      <w:spacing w:before="360" w:after="0"/>
      <w:outlineLvl w:val="1"/>
    </w:pPr>
    <w:rPr>
      <w:caps w:val="false"/>
      <w:smallCaps w:val="false"/>
      <w:color w:val="800000"/>
    </w:rPr>
  </w:style>
  <w:style w:type="paragraph" w:styleId="Heading3">
    <w:name w:val="heading 3"/>
    <w:basedOn w:val="Heading2"/>
    <w:next w:val="BodyText"/>
    <w:qFormat/>
    <w:pPr>
      <w:numPr>
        <w:ilvl w:val="2"/>
        <w:numId w:val="1"/>
      </w:numPr>
      <w:jc w:val="start"/>
      <w:outlineLvl w:val="2"/>
    </w:pPr>
    <w:rPr>
      <w:color w:val="008000"/>
    </w:rPr>
  </w:style>
  <w:style w:type="paragraph" w:styleId="Heading4">
    <w:name w:val="heading 4"/>
    <w:basedOn w:val="Heading3"/>
    <w:next w:val="BodyText"/>
    <w:qFormat/>
    <w:pPr>
      <w:numPr>
        <w:ilvl w:val="3"/>
        <w:numId w:val="1"/>
      </w:numPr>
      <w:outlineLvl w:val="3"/>
    </w:pPr>
    <w:rPr>
      <w:i/>
      <w:color w:val="auto"/>
    </w:rPr>
  </w:style>
  <w:style w:type="paragraph" w:styleId="Heading5">
    <w:name w:val="heading 5"/>
    <w:basedOn w:val="Heading4"/>
    <w:next w:val="BodyText"/>
    <w:qFormat/>
    <w:pPr>
      <w:numPr>
        <w:ilvl w:val="4"/>
        <w:numId w:val="1"/>
      </w:numPr>
      <w:outlineLvl w:val="4"/>
    </w:pPr>
    <w:rPr>
      <w:b w:val="false"/>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trike w:val="false"/>
      <w:dstrike w:val="false"/>
      <w:color w:val="FF0000"/>
      <w:sz w:val="20"/>
      <w:vertAlign w:val="superscript"/>
    </w:rPr>
  </w:style>
  <w:style w:type="character" w:styleId="PageNumber">
    <w:name w:val="page number"/>
    <w:basedOn w:val="DefaultParagraphFont"/>
    <w:rPr/>
  </w:style>
  <w:style w:type="paragraph" w:styleId="Heading">
    <w:name w:val="Heading"/>
    <w:basedOn w:val="BodyText"/>
    <w:next w:val="BodyText"/>
    <w:qFormat/>
    <w:pPr>
      <w:spacing w:lineRule="auto" w:line="480" w:before="240" w:after="60"/>
      <w:jc w:val="center"/>
      <w:outlineLvl w:val="0"/>
    </w:pPr>
    <w:rPr>
      <w:rFonts w:ascii="Arial" w:hAnsi="Arial" w:cs="Arial"/>
      <w:b/>
      <w:smallCaps/>
      <w:kern w:val="2"/>
      <w:sz w:val="28"/>
    </w:rPr>
  </w:style>
  <w:style w:type="paragraph" w:styleId="BodyText">
    <w:name w:val="Body Text"/>
    <w:basedOn w:val="Normal"/>
    <w:pPr>
      <w:spacing w:before="240" w:after="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Page">
    <w:name w:val="Page#"/>
    <w:basedOn w:val="Normal"/>
    <w:qFormat/>
    <w:pPr>
      <w:jc w:val="center"/>
    </w:pPr>
    <w:rPr>
      <w:sz w:val="20"/>
    </w:rPr>
  </w:style>
  <w:style w:type="paragraph" w:styleId="footerinfo">
    <w:name w:val="footerinfo"/>
    <w:basedOn w:val="Normal"/>
    <w:qFormat/>
    <w:pPr>
      <w:jc w:val="start"/>
    </w:pPr>
    <w:rPr>
      <w:rFonts w:ascii="Arial" w:hAnsi="Arial" w:cs="Arial"/>
      <w:color w:val="000000"/>
      <w:sz w:val="16"/>
    </w:rPr>
  </w:style>
  <w:style w:type="paragraph" w:styleId="Footer">
    <w:name w:val="footer"/>
    <w:basedOn w:val="Normal"/>
    <w:pPr>
      <w:tabs>
        <w:tab w:val="clear" w:pos="720"/>
        <w:tab w:val="center" w:pos="4147" w:leader="none"/>
        <w:tab w:val="right" w:pos="8280" w:leader="none"/>
      </w:tabs>
    </w:pPr>
    <w:rPr>
      <w:color w:val="000000"/>
    </w:rPr>
  </w:style>
  <w:style w:type="paragraph" w:styleId="envelopereturn1">
    <w:name w:val="envelope return1"/>
    <w:basedOn w:val="Normal"/>
    <w:qFormat/>
    <w:pPr>
      <w:jc w:val="start"/>
    </w:pPr>
    <w:rPr/>
  </w:style>
  <w:style w:type="paragraph" w:styleId="EnvelopeAddress">
    <w:name w:val="envelope address"/>
    <w:basedOn w:val="Normal"/>
    <w:pPr>
      <w:ind w:hanging="0" w:start="2880" w:end="0"/>
    </w:pPr>
    <w:rPr/>
  </w:style>
  <w:style w:type="paragraph" w:styleId="envelopeaddress1">
    <w:name w:val="envelope address1"/>
    <w:basedOn w:val="Normal"/>
    <w:qFormat/>
    <w:pPr>
      <w:ind w:hanging="0" w:start="2880" w:end="0"/>
      <w:jc w:val="start"/>
    </w:pPr>
    <w:rPr/>
  </w:style>
  <w:style w:type="paragraph" w:styleId="EnvelopeReturn">
    <w:name w:val="envelope return"/>
    <w:basedOn w:val="Normal"/>
    <w:pPr/>
    <w:rPr/>
  </w:style>
  <w:style w:type="paragraph" w:styleId="bodynoident">
    <w:name w:val="body no ident"/>
    <w:basedOn w:val="BodyText"/>
    <w:next w:val="BodyText"/>
    <w:qFormat/>
    <w:pPr>
      <w:ind w:hanging="0" w:start="0" w:end="0"/>
    </w:pPr>
    <w:rPr/>
  </w:style>
  <w:style w:type="paragraph" w:styleId="FootnoteText">
    <w:name w:val="footnote text"/>
    <w:basedOn w:val="Normal"/>
    <w:pPr>
      <w:spacing w:before="240" w:after="0"/>
      <w:ind w:hanging="864" w:start="950" w:end="0"/>
      <w:jc w:val="start"/>
    </w:pPr>
    <w:rPr>
      <w:sz w:val="20"/>
    </w:rPr>
  </w:style>
  <w:style w:type="paragraph" w:styleId="ListBullet2">
    <w:name w:val="List Bullet 2"/>
    <w:basedOn w:val="Normal"/>
    <w:pPr>
      <w:spacing w:before="240" w:after="0"/>
      <w:ind w:hanging="360" w:start="1080" w:end="0"/>
    </w:pPr>
    <w:rPr/>
  </w:style>
  <w:style w:type="paragraph" w:styleId="List2d">
    <w:name w:val="List 2.d"/>
    <w:basedOn w:val="ListBullet2"/>
    <w:qFormat/>
    <w:pPr>
      <w:tabs>
        <w:tab w:val="clear" w:pos="720"/>
        <w:tab w:val="decimal" w:pos="1224" w:leader="none"/>
      </w:tabs>
      <w:ind w:hanging="720" w:start="2160" w:end="0"/>
    </w:pPr>
    <w:rPr/>
  </w:style>
  <w:style w:type="paragraph" w:styleId="ListBullet3">
    <w:name w:val="List Bullet 3"/>
    <w:basedOn w:val="ListBullet2"/>
    <w:pPr>
      <w:ind w:hanging="360" w:start="1440" w:end="0"/>
    </w:pPr>
    <w:rPr/>
  </w:style>
  <w:style w:type="paragraph" w:styleId="List3d">
    <w:name w:val="List 3.d"/>
    <w:basedOn w:val="ListBullet3"/>
    <w:qFormat/>
    <w:pPr>
      <w:tabs>
        <w:tab w:val="clear" w:pos="720"/>
        <w:tab w:val="decimal" w:pos="1944" w:leader="none"/>
      </w:tabs>
      <w:ind w:hanging="720" w:start="2880" w:end="0"/>
    </w:pPr>
    <w:rPr/>
  </w:style>
  <w:style w:type="paragraph" w:styleId="ListBullet4">
    <w:name w:val="List Bullet 4"/>
    <w:basedOn w:val="ListBullet3"/>
    <w:pPr>
      <w:ind w:hanging="360" w:start="1800" w:end="0"/>
    </w:pPr>
    <w:rPr/>
  </w:style>
  <w:style w:type="paragraph" w:styleId="List4d">
    <w:name w:val="List 4.d"/>
    <w:basedOn w:val="ListBullet4"/>
    <w:qFormat/>
    <w:pPr>
      <w:tabs>
        <w:tab w:val="clear" w:pos="720"/>
        <w:tab w:val="decimal" w:pos="2664" w:leader="none"/>
      </w:tabs>
      <w:ind w:hanging="720" w:start="3600" w:end="0"/>
    </w:pPr>
    <w:rPr/>
  </w:style>
  <w:style w:type="paragraph" w:styleId="ListBullet5">
    <w:name w:val="List Bullet 5"/>
    <w:basedOn w:val="ListBullet4"/>
    <w:pPr>
      <w:ind w:hanging="360" w:start="2160" w:end="0"/>
    </w:pPr>
    <w:rPr/>
  </w:style>
  <w:style w:type="paragraph" w:styleId="List5d">
    <w:name w:val="List 5.d"/>
    <w:basedOn w:val="ListBullet5"/>
    <w:qFormat/>
    <w:pPr>
      <w:tabs>
        <w:tab w:val="clear" w:pos="720"/>
        <w:tab w:val="decimal" w:pos="3384" w:leader="none"/>
      </w:tabs>
      <w:ind w:hanging="720" w:start="4320" w:end="0"/>
    </w:pPr>
    <w:rPr/>
  </w:style>
  <w:style w:type="paragraph" w:styleId="NormalIndent">
    <w:name w:val="Normal Indent"/>
    <w:basedOn w:val="Normal"/>
    <w:qFormat/>
    <w:pPr>
      <w:spacing w:before="240" w:after="0"/>
      <w:ind w:hanging="0" w:start="720" w:end="0"/>
    </w:pPr>
    <w:rPr/>
  </w:style>
  <w:style w:type="paragraph" w:styleId="TOC1">
    <w:name w:val="toc 1"/>
    <w:basedOn w:val="Normal"/>
    <w:next w:val="Normal"/>
    <w:pPr>
      <w:spacing w:before="120" w:after="0"/>
      <w:ind w:hanging="0" w:start="360" w:end="-360"/>
    </w:pPr>
    <w:rPr/>
  </w:style>
  <w:style w:type="paragraph" w:styleId="TOC2">
    <w:name w:val="toc 2"/>
    <w:basedOn w:val="TOC1"/>
    <w:next w:val="Normal"/>
    <w:pPr>
      <w:tabs>
        <w:tab w:val="clear" w:pos="720"/>
        <w:tab w:val="decimal" w:pos="8640" w:leader="dot"/>
      </w:tabs>
      <w:spacing w:before="60" w:after="0"/>
      <w:ind w:hanging="360" w:start="1080" w:end="720"/>
    </w:pPr>
    <w:rPr/>
  </w:style>
  <w:style w:type="paragraph" w:styleId="TOC3">
    <w:name w:val="toc 3"/>
    <w:basedOn w:val="TOC2"/>
    <w:next w:val="Normal"/>
    <w:pPr>
      <w:ind w:hanging="360" w:start="1440" w:end="720"/>
    </w:pPr>
    <w:rPr/>
  </w:style>
  <w:style w:type="paragraph" w:styleId="TOC4">
    <w:name w:val="toc 4"/>
    <w:basedOn w:val="TOC3"/>
    <w:next w:val="Normal"/>
    <w:pPr>
      <w:ind w:hanging="360" w:start="1800" w:end="720"/>
    </w:pPr>
    <w:rPr/>
  </w:style>
  <w:style w:type="paragraph" w:styleId="TOC5">
    <w:name w:val="toc 5"/>
    <w:basedOn w:val="TOC4"/>
    <w:next w:val="Normal"/>
    <w:pPr>
      <w:ind w:hanging="360" w:start="2160" w:end="720"/>
    </w:pPr>
    <w:rPr/>
  </w:style>
  <w:style w:type="paragraph" w:styleId="bodytext1">
    <w:name w:val="body text1"/>
    <w:basedOn w:val="Normal"/>
    <w:qFormat/>
    <w:pPr>
      <w:spacing w:before="240" w:after="0"/>
      <w:ind w:firstLine="720" w:start="0" w:end="0"/>
    </w:pPr>
    <w:rPr/>
  </w:style>
  <w:style w:type="paragraph" w:styleId="Quote">
    <w:name w:val="Quote"/>
    <w:basedOn w:val="Normal"/>
    <w:qFormat/>
    <w:pPr>
      <w:spacing w:before="240" w:after="0"/>
      <w:ind w:hanging="0" w:start="1440" w:end="144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2000-08-21T18:41:00Z</dcterms:created>
  <dc:creator>m800</dc:creator>
  <dc:description/>
  <dc:language>en-CA</dc:language>
  <cp:lastModifiedBy>m800</cp:lastModifiedBy>
  <cp:lastPrinted>2000-08-22T11:13:00Z</cp:lastPrinted>
  <dcterms:modified xsi:type="dcterms:W3CDTF">2000-08-22T12:44:00Z</dcterms:modified>
  <cp:revision>4</cp:revision>
  <dc:subject/>
  <dc:title>UNITED STATES DISTRICT COURT</dc:title>
</cp:coreProperties>
</file>