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sz w:val="22"/>
        </w:rPr>
      </w:pPr>
      <w:r>
        <w:rPr>
          <w:sz w:val="22"/>
        </w:rPr>
      </w:r>
    </w:p>
    <w:p>
      <w:pPr>
        <w:pStyle w:val="Normal"/>
        <w:rPr>
          <w:sz w:val="22"/>
        </w:rPr>
      </w:pPr>
      <w:r>
        <w:rPr>
          <w:sz w:val="22"/>
        </w:rPr>
        <w:t>To:</w:t>
        <w:tab/>
        <w:tab/>
        <w:t xml:space="preserve">Fred Swapper, CFO BF Goodrich </w:t>
      </w:r>
    </w:p>
    <w:p>
      <w:pPr>
        <w:pStyle w:val="Normal"/>
        <w:rPr>
          <w:sz w:val="22"/>
        </w:rPr>
      </w:pPr>
      <w:r>
        <w:rPr>
          <w:sz w:val="22"/>
        </w:rPr>
      </w:r>
    </w:p>
    <w:p>
      <w:pPr>
        <w:pStyle w:val="BodyTextIndent"/>
        <w:rPr/>
      </w:pPr>
      <w:r>
        <w:rPr>
          <w:sz w:val="22"/>
        </w:rPr>
        <w:t>From:</w:t>
        <w:tab/>
        <w:t>Finance Advisement Team (Jeff Dasovich, Mark Guinney, James Jackson, and Dylan Windham)</w:t>
      </w:r>
    </w:p>
    <w:p>
      <w:pPr>
        <w:pStyle w:val="BodyTextIndent"/>
        <w:rPr>
          <w:sz w:val="22"/>
        </w:rPr>
      </w:pPr>
      <w:r>
        <w:rPr>
          <w:sz w:val="22"/>
        </w:rPr>
      </w:r>
    </w:p>
    <w:p>
      <w:pPr>
        <w:pStyle w:val="BodyTextIndent"/>
        <w:rPr>
          <w:sz w:val="22"/>
        </w:rPr>
      </w:pPr>
      <w:r>
        <w:rPr>
          <w:sz w:val="22"/>
        </w:rPr>
        <w:t>Date:</w:t>
        <w:tab/>
        <w:t>March 19, 2001</w:t>
      </w:r>
    </w:p>
    <w:p>
      <w:pPr>
        <w:pStyle w:val="BodyTextIndent"/>
        <w:rPr>
          <w:sz w:val="22"/>
        </w:rPr>
      </w:pPr>
      <w:r>
        <w:rPr>
          <w:sz w:val="22"/>
        </w:rPr>
      </w:r>
    </w:p>
    <w:p>
      <w:pPr>
        <w:pStyle w:val="BodyTextIndent"/>
        <w:rPr>
          <w:sz w:val="22"/>
        </w:rPr>
      </w:pPr>
      <w:r>
        <w:rPr>
          <w:sz w:val="22"/>
        </w:rPr>
        <w:t>Re:</w:t>
        <w:tab/>
        <w:t>Interest Rate Swap Proposal by Solomon Brothers</w:t>
      </w:r>
    </w:p>
    <w:p>
      <w:pPr>
        <w:pStyle w:val="BodyTextIndent"/>
        <w:pBdr>
          <w:top w:val="single" w:sz="4" w:space="1" w:color="000000"/>
        </w:pBdr>
        <w:spacing w:lineRule="auto" w:line="360"/>
        <w:rPr>
          <w:b/>
          <w:i/>
          <w:i/>
          <w:sz w:val="22"/>
        </w:rPr>
      </w:pPr>
      <w:r>
        <w:rPr>
          <w:b/>
          <w:i/>
          <w:sz w:val="22"/>
        </w:rPr>
      </w:r>
    </w:p>
    <w:p>
      <w:pPr>
        <w:pStyle w:val="BodyTextIndent"/>
        <w:pBdr>
          <w:top w:val="single" w:sz="4" w:space="1" w:color="000000"/>
        </w:pBdr>
        <w:spacing w:lineRule="auto" w:line="360"/>
        <w:rPr>
          <w:sz w:val="22"/>
        </w:rPr>
      </w:pPr>
      <w:r>
        <w:rPr>
          <w:b/>
          <w:i/>
          <w:sz w:val="22"/>
        </w:rPr>
        <w:t>Summary and Recommendation</w:t>
      </w:r>
    </w:p>
    <w:p>
      <w:pPr>
        <w:pStyle w:val="Normal"/>
        <w:spacing w:lineRule="auto" w:line="480"/>
        <w:rPr>
          <w:sz w:val="22"/>
        </w:rPr>
      </w:pPr>
      <w:r>
        <w:rPr>
          <w:sz w:val="22"/>
        </w:rPr>
      </w:r>
    </w:p>
    <w:p>
      <w:pPr>
        <w:pStyle w:val="Normal"/>
        <w:spacing w:lineRule="auto" w:line="480"/>
        <w:rPr>
          <w:sz w:val="22"/>
        </w:rPr>
      </w:pPr>
      <w:r>
        <w:rPr>
          <w:sz w:val="22"/>
        </w:rPr>
        <w:t>Based on our analysis, BF Goodrich has the opportunity to benefit from the interest swap currently proposed by Solomon Brothers.  Morgan has proposed that BF Goodrich issue $50m worth of 7 year adjustable rate bonds.  These bonds would require semi-annual coupon payments of .5% plus the three month London Inter-bank Offering Rate (LIBOR).  In order to protect BF Goodrich from fluctuating interest rates, Morgan has proposed that we then partially “swap” the interest payments from our issue with Rabobank, who will issue $50m worth of fixed rate bonds at 11%.  We will submit to Rabobank through Morgan Guaranty $5.5m a year to pay interest on their bonds.  BF Goodrich would in turn receive semi-annual payments of the LIBOR minus a premium x, multiplied by the $50m face value of the bonds.  The premium discount and the additional .5% necessary to make the coupon payments on BF Goodrich’s issues will be the sole responsibility of BF Goodrich.  For guarantying the payments and facilitating the transaction, BF Goodrich will be required to pay an initiation fee of $125k and an undetermined annual fee (a) to Morgan.</w:t>
      </w:r>
    </w:p>
    <w:p>
      <w:pPr>
        <w:pStyle w:val="Normal"/>
        <w:spacing w:lineRule="auto" w:line="480"/>
        <w:rPr/>
      </w:pPr>
      <w:r>
        <w:rPr>
          <w:sz w:val="22"/>
        </w:rPr>
        <w:t>We have compared this proposal to the other available financing options and have determined that the proposal is beneficial to BF Goodrich as long as the premium (x) and annual fee (a) do not violate the following limit condition:</w:t>
      </w:r>
    </w:p>
    <w:p>
      <w:pPr>
        <w:pStyle w:val="Normal"/>
        <w:spacing w:lineRule="auto" w:line="480"/>
        <w:rPr>
          <w:sz w:val="22"/>
        </w:rPr>
      </w:pPr>
      <w:r>
        <w:rPr>
          <w:sz w:val="22"/>
        </w:rPr>
      </w:r>
    </w:p>
    <w:p>
      <w:pPr>
        <w:pStyle w:val="Normal"/>
        <w:spacing w:lineRule="auto" w:line="480"/>
        <w:ind w:firstLine="720" w:start="720" w:end="0"/>
        <w:rPr>
          <w:sz w:val="22"/>
        </w:rPr>
      </w:pPr>
      <w:r>
        <w:rPr>
          <w:sz w:val="22"/>
        </w:rPr>
        <w:tab/>
        <w:t xml:space="preserve">255,624.7 (x) + 4.967 (a) </w:t>
      </w:r>
      <w:r>
        <w:rPr>
          <w:rFonts w:cs="Lucida Console" w:ascii="Lucida Console" w:hAnsi="Lucida Console"/>
          <w:sz w:val="22"/>
        </w:rPr>
        <w:t>≤</w:t>
      </w:r>
      <w:r>
        <w:rPr>
          <w:sz w:val="22"/>
        </w:rPr>
        <w:t xml:space="preserve"> 1,080.7 </w:t>
      </w:r>
    </w:p>
    <w:p>
      <w:pPr>
        <w:pStyle w:val="Normal"/>
        <w:spacing w:lineRule="auto" w:line="480"/>
        <w:rPr>
          <w:sz w:val="22"/>
        </w:rPr>
      </w:pPr>
      <w:r>
        <w:rPr>
          <w:sz w:val="22"/>
        </w:rPr>
      </w:r>
    </w:p>
    <w:p>
      <w:pPr>
        <w:pStyle w:val="Normal"/>
        <w:spacing w:lineRule="auto" w:line="480"/>
        <w:rPr>
          <w:sz w:val="22"/>
        </w:rPr>
      </w:pPr>
      <w:r>
        <w:rPr>
          <w:sz w:val="22"/>
        </w:rPr>
        <w:t>where x is the premium paid in annual percentage and (a) is the annual fee payable to Morgan in thousands.</w:t>
      </w:r>
    </w:p>
    <w:p>
      <w:pPr>
        <w:pStyle w:val="Heading2"/>
        <w:spacing w:lineRule="auto" w:line="480"/>
        <w:ind w:hanging="0" w:start="0"/>
        <w:rPr>
          <w:sz w:val="22"/>
        </w:rPr>
      </w:pPr>
      <w:r>
        <w:rPr>
          <w:sz w:val="22"/>
        </w:rPr>
      </w:r>
    </w:p>
    <w:p>
      <w:pPr>
        <w:pStyle w:val="Heading2"/>
        <w:spacing w:lineRule="auto" w:line="480"/>
        <w:ind w:hanging="0" w:start="0"/>
        <w:rPr/>
      </w:pPr>
      <w:r>
        <w:rPr/>
        <w:t>Financial Position</w:t>
      </w:r>
    </w:p>
    <w:p>
      <w:pPr>
        <w:pStyle w:val="Normal"/>
        <w:spacing w:lineRule="auto" w:line="480"/>
        <w:rPr>
          <w:sz w:val="22"/>
        </w:rPr>
      </w:pPr>
      <w:r>
        <w:rPr>
          <w:sz w:val="22"/>
        </w:rPr>
      </w:r>
    </w:p>
    <w:p>
      <w:pPr>
        <w:pStyle w:val="Normal"/>
        <w:spacing w:lineRule="auto" w:line="480"/>
        <w:rPr>
          <w:sz w:val="22"/>
        </w:rPr>
      </w:pPr>
      <w:r>
        <w:rPr>
          <w:sz w:val="22"/>
        </w:rPr>
        <w:t xml:space="preserve">As you are well aware, BF Goodrich is currently experiencing financial difficulties.  The recession that has plagued the country has had a significant impact on our profits.  With current net loses of $33m a year, BF Goodrich can no longer fund working capital from retained earnings.  We estimate that BF Goodrich will require at least $50m in new capital to maintain our current asset base as well as fund project already in process.  The market has responded unfavorably to our situation and has recently downgraded our bond rating from BBB to BBB-.  We have examined current quotes for various financial instruments available to us.  Since BF Goodrich’s main business lines (tires and PVC piping) are negatively sensitive to interest rates, we would suggest avoiding flexible rate financing.  Increases in interest rates have negative effects on large dollar consumer spending such as automobile purchases and home improvement projects.  This rise in interest rates would cause our sales to decrease while increasing our interest payments on flexible rate debt.  This scenario would further weaken BF Goodrich’s financial condition.  We have determined that BF Goodrich would have to pay 12% - 12.5%, per year on 8 year fixed rate bonds and as much as 13% for 30 year bonds.  </w:t>
      </w:r>
    </w:p>
    <w:p>
      <w:pPr>
        <w:pStyle w:val="Normal"/>
        <w:spacing w:lineRule="auto" w:line="480"/>
        <w:rPr>
          <w:sz w:val="22"/>
        </w:rPr>
      </w:pPr>
      <w:r>
        <w:rPr>
          <w:sz w:val="22"/>
        </w:rPr>
      </w:r>
    </w:p>
    <w:p>
      <w:pPr>
        <w:pStyle w:val="Normal"/>
        <w:spacing w:lineRule="auto" w:line="480"/>
        <w:rPr>
          <w:sz w:val="22"/>
        </w:rPr>
      </w:pPr>
      <w:r>
        <w:rPr>
          <w:sz w:val="22"/>
        </w:rPr>
        <w:t>The analysis of the interest rate swap above compares the proposed swap to BF Goodrich issuing its own 8-year fixed rate bonds at 12% per annum.  The cash flows from the swap were discounted using a 12% discount rate (see exhibit 1 for complete mapping).  This rate was chosen since it is the market quoted risk adjusted rate for BF Goodrich.  The discount rate also does not matter significantly since all decisions will be made relative to alternative sources of financing discounted with the same rate.  The current proposal from Solomon does not include the option of obtaining longer term financing.  The NPV of the 30 year 13% bond would be lower than the 8 year 12% bond as long as we would have the option to renew the agreement with Rabobank or another entity to extend the financing if necessary.</w:t>
      </w:r>
    </w:p>
    <w:p>
      <w:pPr>
        <w:pStyle w:val="Heading2"/>
        <w:spacing w:lineRule="auto" w:line="480"/>
        <w:ind w:hanging="0" w:start="0"/>
        <w:rPr>
          <w:sz w:val="22"/>
        </w:rPr>
      </w:pPr>
      <w:r>
        <w:rPr>
          <w:sz w:val="22"/>
        </w:rPr>
      </w:r>
    </w:p>
    <w:p>
      <w:pPr>
        <w:pStyle w:val="Heading2"/>
        <w:spacing w:lineRule="auto" w:line="480"/>
        <w:ind w:hanging="0" w:start="0"/>
        <w:rPr/>
      </w:pPr>
      <w:r>
        <w:rPr/>
        <w:t>Trading Partners</w:t>
      </w:r>
    </w:p>
    <w:p>
      <w:pPr>
        <w:pStyle w:val="Normal"/>
        <w:spacing w:lineRule="auto" w:line="480"/>
        <w:rPr>
          <w:sz w:val="22"/>
        </w:rPr>
      </w:pPr>
      <w:r>
        <w:rPr>
          <w:sz w:val="22"/>
        </w:rPr>
      </w:r>
    </w:p>
    <w:p>
      <w:pPr>
        <w:pStyle w:val="Normal"/>
        <w:spacing w:lineRule="auto" w:line="480"/>
        <w:rPr/>
      </w:pPr>
      <w:r>
        <w:rPr>
          <w:sz w:val="22"/>
        </w:rPr>
        <w:t>This deal has the potential to benefit all trading partners within by providing them with an opportunity to obtain financial instruments at prices lower than normally would be available.  Solomon Brothers has assured us that they will be able to underwrite and secure the sale of $50m LIBOR + .5% 8 year bonds for BF Goodrich.  Solomon feels that its US customers will be receptive to this new financial instrument based on a typically European interest rate.  Solomon’s customers will be able to use these bonds to diversify their portfolios since LIBOR rates are not perfectly correlated with other US rates (see exhibit 2).  Those customers that find it difficult to participate in European bond markets due to regulatory and transactional costs, will be able to diversify cheaper by purchasing BF Goodrich’s LIBOR pegged bonds.</w:t>
      </w:r>
    </w:p>
    <w:p>
      <w:pPr>
        <w:pStyle w:val="Normal"/>
        <w:spacing w:lineRule="auto" w:line="480"/>
        <w:rPr>
          <w:sz w:val="22"/>
        </w:rPr>
      </w:pPr>
      <w:r>
        <w:rPr>
          <w:sz w:val="22"/>
        </w:rPr>
      </w:r>
    </w:p>
    <w:p>
      <w:pPr>
        <w:pStyle w:val="Normal"/>
        <w:spacing w:lineRule="auto" w:line="480"/>
        <w:rPr/>
      </w:pPr>
      <w:r>
        <w:rPr>
          <w:sz w:val="22"/>
        </w:rPr>
        <w:t xml:space="preserve">Rabobank is interested in securing $50m in variable rate financing based on the LIBOR.  With its good credit rating of AAA, Rabobank can obtain 8 year variable rate financing for LIBOR + ¼% to – 3/8%.   The x premium of the deal must be sufficient to entice Rabobank to pursue the swap proposal. An additional payment must be made to Rabobank in order to compensate them for the possibility that the payment on their 11% fixed rate bonds may not be remitted to them.  Because these payments are secured by Morgan Guaranty (a AAA rated company with an outstanding international reputation), this additional default risk can be estimated on the risk premium on AAA rated corporate bonds of similar maturity or .4% per annum.  Therefore, x must be greater than .15% to .775% depending on the specific rate Rabobank can obtain in the European bond market.  </w:t>
      </w:r>
    </w:p>
    <w:p>
      <w:pPr>
        <w:pStyle w:val="Normal"/>
        <w:spacing w:lineRule="auto" w:line="480"/>
        <w:rPr>
          <w:sz w:val="22"/>
        </w:rPr>
      </w:pPr>
      <w:r>
        <w:rPr>
          <w:sz w:val="22"/>
        </w:rPr>
      </w:r>
    </w:p>
    <w:p>
      <w:pPr>
        <w:pStyle w:val="Normal"/>
        <w:spacing w:lineRule="auto" w:line="480"/>
        <w:rPr/>
      </w:pPr>
      <w:r>
        <w:rPr>
          <w:sz w:val="22"/>
        </w:rPr>
        <w:t>Morgan guarantees the interest payment transfers by each side.  In the event of a default by one partner, Morgan will continue the agreement with the other.  Morgan therefore assumes the default risk of both companies.  To compensate Morgan for assuming this risk, BF Goodrich will remit $125k upon initiation and an additional annual fee of a.  The default risk can be estimated by the market risk premium paid by both parties on bonds versus the risk-less T-bill rate for similar time lengths.  For the case of BF Goodrich’s promise to remit 8 years of fixed rate interest the market has posted a risk premium of 1.9% per annum.  This risk premium should only be paid on the interest payments since Morgan is not responsible for the face value of either bond.  Rabobank has a 1% risk premium on floating rate instruments as quoted by the market.  Therefore applying these risk premiums to each annual interest payments, a must be greater than $154k.  Morgan can hedge a portion of this risk away by taking up contrary positions with other capital.  To the extend Morgan can do that without incurring additional costs, the annual payments to Morgan can be reduced.</w:t>
      </w:r>
    </w:p>
    <w:p>
      <w:pPr>
        <w:pStyle w:val="Normal"/>
        <w:spacing w:lineRule="auto" w:line="480"/>
        <w:rPr>
          <w:sz w:val="22"/>
        </w:rPr>
      </w:pPr>
      <w:r>
        <w:rPr>
          <w:sz w:val="22"/>
        </w:rPr>
      </w:r>
    </w:p>
    <w:p>
      <w:pPr>
        <w:pStyle w:val="Heading2"/>
        <w:spacing w:lineRule="auto" w:line="480"/>
        <w:ind w:hanging="0" w:start="0"/>
        <w:rPr/>
      </w:pPr>
      <w:r>
        <w:rPr/>
        <w:t>Conclusions</w:t>
      </w:r>
    </w:p>
    <w:p>
      <w:pPr>
        <w:pStyle w:val="Normal"/>
        <w:rPr/>
      </w:pPr>
      <w:r>
        <w:rPr>
          <w:sz w:val="22"/>
        </w:rPr>
        <w:t>Based on the above analysis it is possible for all parties of this swap to benefit.  Because BF Goodrich has a comparative advantage in obtaining flexible rate debt than Rabobank and Rabobank has a comparative advantage to obtaining fixed rate debt, both partners can benefit from trade.  Morgan has an advantage in hedging away the default risk of both partners.  The extent of the benefit will be determined by the x and a selected as a part of the deal.  We suggest that BF Goodrich pursue this agreement in such that it does not violate the limit conditions set forth in the above equation.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Console">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mallCaps/>
      <w:sz w:val="24"/>
    </w:rPr>
  </w:style>
  <w:style w:type="paragraph" w:styleId="Heading2">
    <w:name w:val="heading 2"/>
    <w:basedOn w:val="Normal"/>
    <w:next w:val="Normal"/>
    <w:qFormat/>
    <w:pPr>
      <w:keepNext w:val="true"/>
      <w:numPr>
        <w:ilvl w:val="1"/>
        <w:numId w:val="1"/>
      </w:numPr>
      <w:outlineLvl w:val="1"/>
    </w:pPr>
    <w:rPr>
      <w:i/>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2001-03-11T22:38:00Z</dcterms:created>
  <dc:creator>Dylan &amp; Julie Windham</dc:creator>
  <dc:description/>
  <dc:language>en-CA</dc:language>
  <cp:lastModifiedBy>Dylan &amp; Julie Windham</cp:lastModifiedBy>
  <dcterms:modified xsi:type="dcterms:W3CDTF">2001-03-12T02:02:00Z</dcterms:modified>
  <cp:revision>9</cp:revision>
  <dc:subject/>
  <dc:title>MEMORANDUM</dc:title>
</cp:coreProperties>
</file>