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Case 5:  The B.F. Goodrich-Robobank Interest Rate Swap</w:t>
      </w:r>
    </w:p>
    <w:p>
      <w:pPr>
        <w:pStyle w:val="Normal"/>
        <w:rPr>
          <w:sz w:val="24"/>
        </w:rPr>
      </w:pPr>
      <w:r>
        <w:rPr>
          <w:sz w:val="24"/>
        </w:rPr>
      </w:r>
    </w:p>
    <w:p>
      <w:pPr>
        <w:pStyle w:val="Normal"/>
        <w:numPr>
          <w:ilvl w:val="0"/>
          <w:numId w:val="2"/>
        </w:numPr>
        <w:rPr>
          <w:sz w:val="24"/>
        </w:rPr>
      </w:pPr>
      <w:r>
        <w:rPr>
          <w:sz w:val="24"/>
        </w:rPr>
        <w:t>How large must the discount (X) be to make this an attractive deal for Rabobank?</w:t>
      </w:r>
    </w:p>
    <w:p>
      <w:pPr>
        <w:pStyle w:val="Normal"/>
        <w:rPr>
          <w:sz w:val="24"/>
        </w:rPr>
      </w:pPr>
      <w:r>
        <w:rPr>
          <w:sz w:val="24"/>
        </w:rPr>
      </w:r>
    </w:p>
    <w:p>
      <w:pPr>
        <w:pStyle w:val="Normal"/>
        <w:ind w:start="360" w:end="0"/>
        <w:rPr>
          <w:sz w:val="24"/>
        </w:rPr>
      </w:pPr>
      <w:r>
        <w:rPr>
          <w:sz w:val="24"/>
        </w:rPr>
        <w:t>X needs to be just great enough to make Rabobank prefer the swap to the next available option.  Since it always has the ability to lend and borrow at the LIBOR rate (low capital levels and AAA rating), Rabobank can achieve the true LIBOR rate.  Therefore, the benefits of the this arraignment can be expressed as the following equation:</w:t>
      </w:r>
    </w:p>
    <w:p>
      <w:pPr>
        <w:pStyle w:val="Normal"/>
        <w:ind w:start="360" w:end="0"/>
        <w:rPr>
          <w:sz w:val="24"/>
        </w:rPr>
      </w:pPr>
      <w:r>
        <w:rPr>
          <w:sz w:val="24"/>
        </w:rPr>
      </w:r>
    </w:p>
    <w:p>
      <w:pPr>
        <w:pStyle w:val="Normal"/>
        <w:ind w:start="360" w:end="0"/>
        <w:rPr>
          <w:sz w:val="24"/>
        </w:rPr>
      </w:pPr>
      <w:r>
        <w:rPr>
          <w:sz w:val="24"/>
        </w:rPr>
        <w:tab/>
        <w:tab/>
        <w:t>LIBOR + x% - default risk – loss of financial freedom</w:t>
      </w:r>
    </w:p>
    <w:p>
      <w:pPr>
        <w:pStyle w:val="Normal"/>
        <w:ind w:start="360" w:end="0"/>
        <w:rPr>
          <w:sz w:val="24"/>
        </w:rPr>
      </w:pPr>
      <w:r>
        <w:rPr>
          <w:sz w:val="24"/>
        </w:rPr>
      </w:r>
    </w:p>
    <w:p>
      <w:pPr>
        <w:pStyle w:val="BodyTextIndent"/>
        <w:rPr/>
      </w:pPr>
      <w:r>
        <w:rPr/>
        <w:t>Dylan- You can assume that there is no counterparty or default risk with Morgan as you pointed out below given its AAA rating (and is the reason that all banks that conduct swaps will have an AAA subsidiary rating that acts as counterparty).  Also, whether Rabobank finances with short or long term debt should not be a factor on loss of financial freedom since on day 1, the yield curve is risk neutral, i.e. a borrower can invest short term and continue to rollover the debt or just borrow long-term and the two would be equal or else arbitrage is available.</w:t>
      </w:r>
    </w:p>
    <w:p>
      <w:pPr>
        <w:pStyle w:val="Normal"/>
        <w:ind w:start="360" w:end="0"/>
        <w:rPr>
          <w:sz w:val="24"/>
        </w:rPr>
      </w:pPr>
      <w:r>
        <w:rPr>
          <w:sz w:val="24"/>
        </w:rPr>
      </w:r>
    </w:p>
    <w:p>
      <w:pPr>
        <w:pStyle w:val="Normal"/>
        <w:ind w:start="360" w:end="0"/>
        <w:rPr>
          <w:sz w:val="24"/>
        </w:rPr>
      </w:pPr>
      <w:r>
        <w:rPr>
          <w:sz w:val="24"/>
        </w:rPr>
        <w:t>Since the payments remitted to Rabobank are back by Morgan (AAA bond rating with excellent reputation), the default risk to the bank is very low.  Therefore, x needs only large enough to compensate for the loss of financial flexibility that this transaction causes Rabobank.  Since Rabobank is now taking on long term debt rather than the short term debt it sought, the loss of financial freedom is a cost that must be compensated for but not easily quantifiable.</w:t>
      </w:r>
    </w:p>
    <w:p>
      <w:pPr>
        <w:pStyle w:val="Normal"/>
        <w:ind w:start="360" w:end="0"/>
        <w:rPr>
          <w:sz w:val="24"/>
        </w:rPr>
      </w:pPr>
      <w:r>
        <w:rPr>
          <w:sz w:val="24"/>
        </w:rPr>
      </w:r>
    </w:p>
    <w:tbl>
      <w:tblPr>
        <w:tblW w:w="8298" w:type="dxa"/>
        <w:jc w:val="start"/>
        <w:tblInd w:w="0" w:type="dxa"/>
        <w:tblLayout w:type="fixed"/>
        <w:tblCellMar>
          <w:top w:w="0" w:type="dxa"/>
          <w:start w:w="108" w:type="dxa"/>
          <w:bottom w:w="0" w:type="dxa"/>
          <w:end w:w="108" w:type="dxa"/>
        </w:tblCellMar>
      </w:tblPr>
      <w:tblGrid>
        <w:gridCol w:w="2898"/>
        <w:gridCol w:w="2700"/>
        <w:gridCol w:w="2700"/>
      </w:tblGrid>
      <w:tr>
        <w:trPr/>
        <w:tc>
          <w:tcPr>
            <w:tcW w:w="2898" w:type="dxa"/>
            <w:tcBorders/>
          </w:tcPr>
          <w:p>
            <w:pPr>
              <w:pStyle w:val="Normal"/>
              <w:rPr>
                <w:b/>
                <w:color w:val="FF0000"/>
                <w:sz w:val="24"/>
                <w:u w:val="single"/>
              </w:rPr>
            </w:pPr>
            <w:r>
              <w:rPr>
                <w:b/>
                <w:color w:val="FF0000"/>
                <w:sz w:val="24"/>
                <w:u w:val="single"/>
              </w:rPr>
              <w:t>Borrower</w:t>
            </w:r>
          </w:p>
        </w:tc>
        <w:tc>
          <w:tcPr>
            <w:tcW w:w="2700" w:type="dxa"/>
            <w:tcBorders/>
          </w:tcPr>
          <w:p>
            <w:pPr>
              <w:pStyle w:val="Normal"/>
              <w:rPr>
                <w:b/>
                <w:color w:val="FF0000"/>
                <w:sz w:val="24"/>
                <w:u w:val="single"/>
              </w:rPr>
            </w:pPr>
            <w:r>
              <w:rPr>
                <w:b/>
                <w:color w:val="FF0000"/>
                <w:sz w:val="24"/>
                <w:u w:val="single"/>
              </w:rPr>
              <w:t>Fixed Rate Available</w:t>
            </w:r>
          </w:p>
        </w:tc>
        <w:tc>
          <w:tcPr>
            <w:tcW w:w="2700" w:type="dxa"/>
            <w:tcBorders/>
          </w:tcPr>
          <w:p>
            <w:pPr>
              <w:pStyle w:val="Normal"/>
              <w:rPr>
                <w:b/>
                <w:color w:val="FF0000"/>
                <w:sz w:val="24"/>
                <w:u w:val="single"/>
              </w:rPr>
            </w:pPr>
            <w:r>
              <w:rPr>
                <w:b/>
                <w:color w:val="FF0000"/>
                <w:sz w:val="24"/>
                <w:u w:val="single"/>
              </w:rPr>
              <w:t>Floating Rate Available</w:t>
            </w:r>
          </w:p>
        </w:tc>
      </w:tr>
      <w:tr>
        <w:trPr/>
        <w:tc>
          <w:tcPr>
            <w:tcW w:w="2898" w:type="dxa"/>
            <w:tcBorders/>
          </w:tcPr>
          <w:p>
            <w:pPr>
              <w:pStyle w:val="Normal"/>
              <w:rPr>
                <w:color w:val="FF0000"/>
                <w:sz w:val="24"/>
              </w:rPr>
            </w:pPr>
            <w:r>
              <w:rPr>
                <w:color w:val="FF0000"/>
                <w:sz w:val="24"/>
              </w:rPr>
              <w:t>Rabobank  AAA rated</w:t>
            </w:r>
          </w:p>
        </w:tc>
        <w:tc>
          <w:tcPr>
            <w:tcW w:w="2700" w:type="dxa"/>
            <w:tcBorders/>
          </w:tcPr>
          <w:p>
            <w:pPr>
              <w:pStyle w:val="Normal"/>
              <w:rPr>
                <w:color w:val="FF0000"/>
                <w:sz w:val="24"/>
              </w:rPr>
            </w:pPr>
            <w:r>
              <w:rPr>
                <w:color w:val="FF0000"/>
                <w:sz w:val="24"/>
              </w:rPr>
              <w:t>11.00%</w:t>
            </w:r>
          </w:p>
        </w:tc>
        <w:tc>
          <w:tcPr>
            <w:tcW w:w="2700" w:type="dxa"/>
            <w:tcBorders/>
          </w:tcPr>
          <w:p>
            <w:pPr>
              <w:pStyle w:val="Normal"/>
              <w:rPr>
                <w:color w:val="FF0000"/>
                <w:sz w:val="24"/>
              </w:rPr>
            </w:pPr>
            <w:r>
              <w:rPr>
                <w:color w:val="FF0000"/>
                <w:sz w:val="24"/>
              </w:rPr>
              <w:t>LIBOR + 0.25%</w:t>
            </w:r>
          </w:p>
        </w:tc>
      </w:tr>
      <w:tr>
        <w:trPr/>
        <w:tc>
          <w:tcPr>
            <w:tcW w:w="2898" w:type="dxa"/>
            <w:tcBorders/>
          </w:tcPr>
          <w:p>
            <w:pPr>
              <w:pStyle w:val="Normal"/>
              <w:rPr>
                <w:color w:val="FF0000"/>
                <w:sz w:val="24"/>
              </w:rPr>
            </w:pPr>
            <w:r>
              <w:rPr>
                <w:color w:val="FF0000"/>
                <w:sz w:val="24"/>
              </w:rPr>
              <w:t>BF Goodrich  BBB- rated</w:t>
            </w:r>
          </w:p>
        </w:tc>
        <w:tc>
          <w:tcPr>
            <w:tcW w:w="2700" w:type="dxa"/>
            <w:tcBorders/>
          </w:tcPr>
          <w:p>
            <w:pPr>
              <w:pStyle w:val="Normal"/>
              <w:rPr>
                <w:color w:val="FF0000"/>
                <w:sz w:val="24"/>
                <w:u w:val="single"/>
              </w:rPr>
            </w:pPr>
            <w:r>
              <w:rPr>
                <w:color w:val="FF0000"/>
                <w:sz w:val="24"/>
                <w:u w:val="single"/>
              </w:rPr>
              <w:t>13.00%</w:t>
            </w:r>
          </w:p>
        </w:tc>
        <w:tc>
          <w:tcPr>
            <w:tcW w:w="2700" w:type="dxa"/>
            <w:tcBorders/>
          </w:tcPr>
          <w:p>
            <w:pPr>
              <w:pStyle w:val="Normal"/>
              <w:rPr>
                <w:color w:val="FF0000"/>
                <w:sz w:val="24"/>
                <w:u w:val="single"/>
              </w:rPr>
            </w:pPr>
            <w:r>
              <w:rPr>
                <w:color w:val="FF0000"/>
                <w:sz w:val="24"/>
                <w:u w:val="single"/>
              </w:rPr>
              <w:t>LIBOR + 0.50%</w:t>
            </w:r>
          </w:p>
        </w:tc>
      </w:tr>
      <w:tr>
        <w:trPr/>
        <w:tc>
          <w:tcPr>
            <w:tcW w:w="2898" w:type="dxa"/>
            <w:tcBorders/>
          </w:tcPr>
          <w:p>
            <w:pPr>
              <w:pStyle w:val="Heading1"/>
              <w:ind w:hanging="0" w:start="0"/>
              <w:rPr/>
            </w:pPr>
            <w:r>
              <w:rPr/>
              <w:t>Difference</w:t>
            </w:r>
          </w:p>
        </w:tc>
        <w:tc>
          <w:tcPr>
            <w:tcW w:w="2700" w:type="dxa"/>
            <w:tcBorders/>
          </w:tcPr>
          <w:p>
            <w:pPr>
              <w:pStyle w:val="Normal"/>
              <w:rPr>
                <w:color w:val="FF0000"/>
                <w:sz w:val="24"/>
              </w:rPr>
            </w:pPr>
            <w:r>
              <w:rPr>
                <w:color w:val="FF0000"/>
                <w:sz w:val="24"/>
              </w:rPr>
              <w:t>2.00%</w:t>
            </w:r>
          </w:p>
        </w:tc>
        <w:tc>
          <w:tcPr>
            <w:tcW w:w="2700" w:type="dxa"/>
            <w:tcBorders/>
          </w:tcPr>
          <w:p>
            <w:pPr>
              <w:pStyle w:val="Normal"/>
              <w:rPr>
                <w:color w:val="FF0000"/>
                <w:sz w:val="24"/>
              </w:rPr>
            </w:pPr>
            <w:r>
              <w:rPr>
                <w:color w:val="FF0000"/>
                <w:sz w:val="24"/>
              </w:rPr>
              <w:t>0.25%</w:t>
            </w:r>
          </w:p>
        </w:tc>
      </w:tr>
    </w:tbl>
    <w:p>
      <w:pPr>
        <w:pStyle w:val="Normal"/>
        <w:ind w:start="360" w:end="0"/>
        <w:rPr>
          <w:color w:val="FF0000"/>
          <w:sz w:val="24"/>
        </w:rPr>
      </w:pPr>
      <w:r>
        <w:rPr>
          <w:color w:val="FF0000"/>
          <w:sz w:val="24"/>
        </w:rPr>
      </w:r>
    </w:p>
    <w:p>
      <w:pPr>
        <w:pStyle w:val="Normal"/>
        <w:ind w:start="360" w:end="0"/>
        <w:rPr>
          <w:color w:val="FF0000"/>
          <w:sz w:val="24"/>
        </w:rPr>
      </w:pPr>
      <w:r>
        <w:rPr>
          <w:color w:val="FF0000"/>
          <w:sz w:val="24"/>
        </w:rPr>
        <w:t xml:space="preserve">Clearly, the market has a disparity in the spread between a AAA and BBB- when looking at fixed rates and floating rate notes.  The spread for a fixed rate is 200 basis points while for a floating rate note the spread is 25 basis.  Through an interest rate swap, the two counterparties can take advantage of the 175 basis point differential.  </w:t>
      </w:r>
    </w:p>
    <w:p>
      <w:pPr>
        <w:pStyle w:val="Normal"/>
        <w:ind w:start="360" w:end="0"/>
        <w:rPr>
          <w:color w:val="FF0000"/>
          <w:sz w:val="24"/>
        </w:rPr>
      </w:pPr>
      <w:r>
        <w:rPr>
          <w:color w:val="FF0000"/>
          <w:sz w:val="24"/>
        </w:rPr>
      </w:r>
    </w:p>
    <w:p>
      <w:pPr>
        <w:pStyle w:val="Normal"/>
        <w:ind w:start="360" w:end="0"/>
        <w:rPr>
          <w:color w:val="FF0000"/>
          <w:sz w:val="24"/>
        </w:rPr>
      </w:pPr>
      <w:r>
        <w:rPr>
          <w:color w:val="FF0000"/>
          <w:sz w:val="24"/>
        </w:rPr>
        <w:t>Per the following table, we can see that barring transaction costs, the interest rate swap has permitted the parties to share the following savings:</w:t>
      </w:r>
    </w:p>
    <w:p>
      <w:pPr>
        <w:pStyle w:val="Normal"/>
        <w:ind w:start="360" w:end="0"/>
        <w:rPr>
          <w:color w:val="FF0000"/>
          <w:sz w:val="24"/>
        </w:rPr>
      </w:pPr>
      <w:r>
        <w:rPr>
          <w:color w:val="FF0000"/>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cPr>
          <w:p>
            <w:pPr>
              <w:pStyle w:val="Normal"/>
              <w:rPr>
                <w:b/>
                <w:color w:val="FF0000"/>
                <w:sz w:val="24"/>
                <w:u w:val="single"/>
              </w:rPr>
            </w:pPr>
            <w:r>
              <w:rPr>
                <w:b/>
                <w:color w:val="FF0000"/>
                <w:sz w:val="24"/>
                <w:u w:val="single"/>
              </w:rPr>
              <w:t>Party</w:t>
            </w:r>
          </w:p>
        </w:tc>
        <w:tc>
          <w:tcPr>
            <w:tcW w:w="2214" w:type="dxa"/>
            <w:tcBorders/>
          </w:tcPr>
          <w:p>
            <w:pPr>
              <w:pStyle w:val="Normal"/>
              <w:rPr>
                <w:b/>
                <w:color w:val="FF0000"/>
                <w:sz w:val="24"/>
                <w:u w:val="single"/>
              </w:rPr>
            </w:pPr>
            <w:r>
              <w:rPr>
                <w:b/>
                <w:color w:val="FF0000"/>
                <w:sz w:val="24"/>
                <w:u w:val="single"/>
              </w:rPr>
              <w:t>Normal Fund Cost</w:t>
            </w:r>
          </w:p>
        </w:tc>
        <w:tc>
          <w:tcPr>
            <w:tcW w:w="2214" w:type="dxa"/>
            <w:tcBorders/>
          </w:tcPr>
          <w:p>
            <w:pPr>
              <w:pStyle w:val="Normal"/>
              <w:rPr>
                <w:b/>
                <w:color w:val="FF0000"/>
                <w:sz w:val="24"/>
                <w:u w:val="single"/>
              </w:rPr>
            </w:pPr>
            <w:r>
              <w:rPr>
                <w:b/>
                <w:color w:val="FF0000"/>
                <w:sz w:val="24"/>
                <w:u w:val="single"/>
              </w:rPr>
              <w:t>Cost After Swap</w:t>
            </w:r>
          </w:p>
        </w:tc>
        <w:tc>
          <w:tcPr>
            <w:tcW w:w="2214" w:type="dxa"/>
            <w:tcBorders/>
          </w:tcPr>
          <w:p>
            <w:pPr>
              <w:pStyle w:val="Normal"/>
              <w:rPr>
                <w:b/>
                <w:color w:val="FF0000"/>
                <w:sz w:val="24"/>
                <w:u w:val="single"/>
              </w:rPr>
            </w:pPr>
            <w:r>
              <w:rPr>
                <w:b/>
                <w:color w:val="FF0000"/>
                <w:sz w:val="24"/>
                <w:u w:val="single"/>
              </w:rPr>
              <w:t>Difference (%)</w:t>
            </w:r>
          </w:p>
        </w:tc>
      </w:tr>
      <w:tr>
        <w:trPr/>
        <w:tc>
          <w:tcPr>
            <w:tcW w:w="2214" w:type="dxa"/>
            <w:tcBorders/>
          </w:tcPr>
          <w:p>
            <w:pPr>
              <w:pStyle w:val="Heading3"/>
              <w:ind w:hanging="0" w:start="0"/>
              <w:rPr/>
            </w:pPr>
            <w:r>
              <w:rPr/>
              <w:t>Rabobank</w:t>
            </w:r>
          </w:p>
        </w:tc>
        <w:tc>
          <w:tcPr>
            <w:tcW w:w="2214" w:type="dxa"/>
            <w:tcBorders/>
          </w:tcPr>
          <w:p>
            <w:pPr>
              <w:pStyle w:val="Normal"/>
              <w:rPr>
                <w:color w:val="FF0000"/>
                <w:sz w:val="24"/>
              </w:rPr>
            </w:pPr>
            <w:r>
              <w:rPr>
                <w:color w:val="FF0000"/>
                <w:sz w:val="24"/>
              </w:rPr>
              <w:t>LIBOR + 0.25%</w:t>
            </w:r>
          </w:p>
        </w:tc>
        <w:tc>
          <w:tcPr>
            <w:tcW w:w="2214" w:type="dxa"/>
            <w:tcBorders/>
          </w:tcPr>
          <w:p>
            <w:pPr>
              <w:pStyle w:val="Normal"/>
              <w:rPr>
                <w:color w:val="FF0000"/>
                <w:sz w:val="24"/>
              </w:rPr>
            </w:pPr>
            <w:r>
              <w:rPr>
                <w:color w:val="FF0000"/>
                <w:sz w:val="24"/>
              </w:rPr>
              <w:t>LIBOR - x</w:t>
            </w:r>
          </w:p>
        </w:tc>
        <w:tc>
          <w:tcPr>
            <w:tcW w:w="2214" w:type="dxa"/>
            <w:tcBorders/>
          </w:tcPr>
          <w:p>
            <w:pPr>
              <w:pStyle w:val="Normal"/>
              <w:rPr>
                <w:color w:val="FF0000"/>
                <w:sz w:val="24"/>
              </w:rPr>
            </w:pPr>
            <w:r>
              <w:rPr>
                <w:color w:val="FF0000"/>
                <w:sz w:val="24"/>
              </w:rPr>
              <w:t>0.25% + x</w:t>
            </w:r>
          </w:p>
        </w:tc>
      </w:tr>
      <w:tr>
        <w:trPr/>
        <w:tc>
          <w:tcPr>
            <w:tcW w:w="2214" w:type="dxa"/>
            <w:tcBorders/>
          </w:tcPr>
          <w:p>
            <w:pPr>
              <w:pStyle w:val="Normal"/>
              <w:rPr>
                <w:color w:val="FF0000"/>
                <w:sz w:val="24"/>
              </w:rPr>
            </w:pPr>
            <w:r>
              <w:rPr>
                <w:color w:val="FF0000"/>
                <w:sz w:val="24"/>
              </w:rPr>
              <w:t>BF Goodrich</w:t>
            </w:r>
          </w:p>
        </w:tc>
        <w:tc>
          <w:tcPr>
            <w:tcW w:w="2214" w:type="dxa"/>
            <w:tcBorders/>
          </w:tcPr>
          <w:p>
            <w:pPr>
              <w:pStyle w:val="Normal"/>
              <w:rPr>
                <w:color w:val="FF0000"/>
                <w:sz w:val="24"/>
              </w:rPr>
            </w:pPr>
            <w:r>
              <w:rPr>
                <w:color w:val="FF0000"/>
                <w:sz w:val="24"/>
              </w:rPr>
              <w:t>13.0%</w:t>
            </w:r>
          </w:p>
        </w:tc>
        <w:tc>
          <w:tcPr>
            <w:tcW w:w="2214" w:type="dxa"/>
            <w:tcBorders/>
          </w:tcPr>
          <w:p>
            <w:pPr>
              <w:pStyle w:val="Normal"/>
              <w:rPr>
                <w:color w:val="FF0000"/>
                <w:sz w:val="24"/>
              </w:rPr>
            </w:pPr>
            <w:r>
              <w:rPr>
                <w:color w:val="FF0000"/>
                <w:sz w:val="24"/>
              </w:rPr>
              <w:t>11.5% + x</w:t>
            </w:r>
          </w:p>
        </w:tc>
        <w:tc>
          <w:tcPr>
            <w:tcW w:w="2214" w:type="dxa"/>
            <w:tcBorders/>
          </w:tcPr>
          <w:p>
            <w:pPr>
              <w:pStyle w:val="Normal"/>
              <w:rPr>
                <w:color w:val="FF0000"/>
                <w:sz w:val="24"/>
                <w:u w:val="single"/>
              </w:rPr>
            </w:pPr>
            <w:r>
              <w:rPr>
                <w:color w:val="FF0000"/>
                <w:sz w:val="24"/>
                <w:u w:val="single"/>
              </w:rPr>
              <w:t>1.50% - x</w:t>
            </w:r>
          </w:p>
        </w:tc>
      </w:tr>
      <w:tr>
        <w:trPr/>
        <w:tc>
          <w:tcPr>
            <w:tcW w:w="2214" w:type="dxa"/>
            <w:tcBorders/>
          </w:tcPr>
          <w:p>
            <w:pPr>
              <w:pStyle w:val="Normal"/>
              <w:snapToGrid w:val="false"/>
              <w:rPr>
                <w:color w:val="FF0000"/>
                <w:sz w:val="24"/>
                <w:u w:val="single"/>
              </w:rPr>
            </w:pPr>
            <w:r>
              <w:rPr>
                <w:color w:val="FF0000"/>
                <w:sz w:val="24"/>
                <w:u w:val="single"/>
              </w:rPr>
            </w:r>
          </w:p>
        </w:tc>
        <w:tc>
          <w:tcPr>
            <w:tcW w:w="2214" w:type="dxa"/>
            <w:tcBorders/>
          </w:tcPr>
          <w:p>
            <w:pPr>
              <w:pStyle w:val="Normal"/>
              <w:snapToGrid w:val="false"/>
              <w:rPr>
                <w:color w:val="FF0000"/>
                <w:sz w:val="24"/>
              </w:rPr>
            </w:pPr>
            <w:r>
              <w:rPr>
                <w:color w:val="FF0000"/>
                <w:sz w:val="24"/>
              </w:rPr>
            </w:r>
          </w:p>
        </w:tc>
        <w:tc>
          <w:tcPr>
            <w:tcW w:w="2214" w:type="dxa"/>
            <w:tcBorders/>
          </w:tcPr>
          <w:p>
            <w:pPr>
              <w:pStyle w:val="Normal"/>
              <w:snapToGrid w:val="false"/>
              <w:rPr>
                <w:color w:val="FF0000"/>
                <w:sz w:val="24"/>
              </w:rPr>
            </w:pPr>
            <w:r>
              <w:rPr>
                <w:color w:val="FF0000"/>
                <w:sz w:val="24"/>
              </w:rPr>
            </w:r>
          </w:p>
        </w:tc>
        <w:tc>
          <w:tcPr>
            <w:tcW w:w="2214" w:type="dxa"/>
            <w:tcBorders/>
          </w:tcPr>
          <w:p>
            <w:pPr>
              <w:pStyle w:val="Normal"/>
              <w:rPr>
                <w:color w:val="FF0000"/>
                <w:sz w:val="24"/>
              </w:rPr>
            </w:pPr>
            <w:r>
              <w:rPr>
                <w:color w:val="FF0000"/>
                <w:sz w:val="24"/>
              </w:rPr>
              <w:t>1.75%</w:t>
            </w:r>
          </w:p>
        </w:tc>
      </w:tr>
    </w:tbl>
    <w:p>
      <w:pPr>
        <w:pStyle w:val="Normal"/>
        <w:ind w:start="360" w:end="0"/>
        <w:rPr>
          <w:color w:val="FF0000"/>
          <w:sz w:val="24"/>
        </w:rPr>
      </w:pPr>
      <w:r>
        <w:rPr>
          <w:color w:val="FF0000"/>
          <w:sz w:val="24"/>
        </w:rPr>
      </w:r>
    </w:p>
    <w:p>
      <w:pPr>
        <w:pStyle w:val="Normal"/>
        <w:ind w:start="360" w:end="0"/>
        <w:rPr>
          <w:color w:val="FF0000"/>
          <w:sz w:val="24"/>
        </w:rPr>
      </w:pPr>
      <w:r>
        <w:rPr>
          <w:color w:val="FF0000"/>
          <w:sz w:val="24"/>
        </w:rPr>
        <w:t>Still assuming no transaction costs, x =0 for Rabobank to still consider the deal.  Even without the discount, Rabobank has lowered its financing costs by 25 basis points.  Any discount in addition to this 25 bps savings would only continue to lower the bank’s cost of capital.</w:t>
      </w:r>
    </w:p>
    <w:p>
      <w:pPr>
        <w:pStyle w:val="Normal"/>
        <w:ind w:start="360" w:end="0"/>
        <w:rPr>
          <w:color w:val="FF0000"/>
          <w:sz w:val="24"/>
        </w:rPr>
      </w:pPr>
      <w:r>
        <w:rPr>
          <w:color w:val="FF0000"/>
          <w:sz w:val="24"/>
        </w:rPr>
      </w:r>
    </w:p>
    <w:p>
      <w:pPr>
        <w:pStyle w:val="Normal"/>
        <w:ind w:start="360" w:end="0"/>
        <w:rPr>
          <w:color w:val="FF0000"/>
          <w:sz w:val="24"/>
        </w:rPr>
      </w:pPr>
      <w:r>
        <w:rPr>
          <w:color w:val="FF0000"/>
          <w:sz w:val="24"/>
        </w:rPr>
        <w:t>Conversely, BF Goodrich should only accept an x &lt; 150 basis points.  Any x that exceeded 150 basis points would put their cost of funds higher than they could have achieved without the swap arrangement.</w:t>
      </w:r>
    </w:p>
    <w:p>
      <w:pPr>
        <w:pStyle w:val="Normal"/>
        <w:rPr>
          <w:color w:val="FF0000"/>
          <w:sz w:val="24"/>
        </w:rPr>
      </w:pPr>
      <w:r>
        <w:rPr>
          <w:color w:val="FF0000"/>
          <w:sz w:val="24"/>
        </w:rPr>
      </w:r>
    </w:p>
    <w:p>
      <w:pPr>
        <w:pStyle w:val="Normal"/>
        <w:numPr>
          <w:ilvl w:val="0"/>
          <w:numId w:val="2"/>
        </w:numPr>
        <w:rPr>
          <w:sz w:val="24"/>
        </w:rPr>
      </w:pPr>
      <w:r>
        <w:rPr>
          <w:sz w:val="24"/>
        </w:rPr>
        <w:t>How large must the annual fee (F) be to make this an attractive deal for Morgan Guaranty?</w:t>
      </w:r>
    </w:p>
    <w:p>
      <w:pPr>
        <w:pStyle w:val="Normal"/>
        <w:rPr>
          <w:sz w:val="24"/>
        </w:rPr>
      </w:pPr>
      <w:r>
        <w:rPr>
          <w:sz w:val="24"/>
        </w:rPr>
      </w:r>
    </w:p>
    <w:p>
      <w:pPr>
        <w:pStyle w:val="Normal"/>
        <w:ind w:start="360" w:end="0"/>
        <w:rPr>
          <w:sz w:val="24"/>
        </w:rPr>
      </w:pPr>
      <w:r>
        <w:rPr>
          <w:sz w:val="24"/>
        </w:rPr>
        <w:t xml:space="preserve">In this transaction, assumes the risk that either one or both of the parties will default on their interest payments and therefore Morgan would be responsible for the remaining payments to the other party.  In the case of Rabobank, this case is extremely unlikely since Rabobank is a stable bank with large pools of assets that gain returns that are closely related to the LIBO interest that it is paying Morgan.  As for BF Goodrich the default risk is higher.  Morgan needs to be compensated for the risk that it cannot effectively hedge away.  Since Morgan is an investment house, it has the ability to hedge away all the idiosyncratic risk of BF Goodrich going insolvent by utilizing a diversified portfolio.  Morgan however bears the risk that the market itself may decline and cause BF Goodrich to not make its promised payments.  </w:t>
      </w:r>
    </w:p>
    <w:p>
      <w:pPr>
        <w:pStyle w:val="Normal"/>
        <w:ind w:start="360" w:end="0"/>
        <w:rPr>
          <w:sz w:val="24"/>
        </w:rPr>
      </w:pPr>
      <w:r>
        <w:rPr>
          <w:sz w:val="24"/>
        </w:rPr>
      </w:r>
    </w:p>
    <w:p>
      <w:pPr>
        <w:pStyle w:val="Normal"/>
        <w:ind w:start="360" w:end="0"/>
        <w:rPr>
          <w:sz w:val="24"/>
        </w:rPr>
      </w:pPr>
      <w:r>
        <w:rPr>
          <w:sz w:val="24"/>
        </w:rPr>
        <w:t>NOTE TO GROUP:  I trying to think how we can quantify this with the CAPM, by using beta and volatility of the market.  But by setting the stock price as 0, I don’t think we will get a meaningful probability.  Please let me know if you can think of anything.</w:t>
      </w:r>
    </w:p>
    <w:p>
      <w:pPr>
        <w:pStyle w:val="Normal"/>
        <w:ind w:start="360" w:end="0"/>
        <w:rPr>
          <w:sz w:val="24"/>
        </w:rPr>
      </w:pPr>
      <w:r>
        <w:rPr>
          <w:sz w:val="24"/>
        </w:rPr>
      </w:r>
    </w:p>
    <w:p>
      <w:pPr>
        <w:pStyle w:val="BodyTextIndent2"/>
        <w:rPr/>
      </w:pPr>
      <w:r>
        <w:rPr/>
        <w:t xml:space="preserve">Using a fairly sophisticated model, we could estimate the actually default cost for Morgan Guaranty (their only cost in the transaction).   The difficulty, however, with such a model is that we do not have enough information about the demand or liquidity of finding another counterparty to take over the defaulted party’s payments.  What further complicates the equation is that Morgan or the defaulted counterparty could find a replacement counterparty if interest rates had moved in their favor but Morgan would have to make up the present value of any short fall if interest rates moved against the defaulted counterparty.  </w:t>
      </w:r>
    </w:p>
    <w:p>
      <w:pPr>
        <w:pStyle w:val="Normal"/>
        <w:rPr>
          <w:sz w:val="24"/>
        </w:rPr>
      </w:pPr>
      <w:r>
        <w:rPr>
          <w:sz w:val="24"/>
        </w:rPr>
      </w:r>
    </w:p>
    <w:p>
      <w:pPr>
        <w:pStyle w:val="Normal"/>
        <w:numPr>
          <w:ilvl w:val="0"/>
          <w:numId w:val="2"/>
        </w:numPr>
        <w:rPr>
          <w:sz w:val="24"/>
        </w:rPr>
      </w:pPr>
      <w:r>
        <w:rPr>
          <w:sz w:val="24"/>
        </w:rPr>
        <w:t>How small must the combination of F and X be to make this an attractive deal for B.F. Goodrich?</w:t>
      </w:r>
    </w:p>
    <w:p>
      <w:pPr>
        <w:pStyle w:val="Normal"/>
        <w:rPr>
          <w:sz w:val="24"/>
        </w:rPr>
      </w:pPr>
      <w:r>
        <w:rPr>
          <w:sz w:val="24"/>
        </w:rPr>
      </w:r>
    </w:p>
    <w:p>
      <w:pPr>
        <w:pStyle w:val="Normal"/>
        <w:ind w:start="360" w:end="0"/>
        <w:rPr>
          <w:sz w:val="24"/>
        </w:rPr>
      </w:pPr>
      <w:r>
        <w:rPr>
          <w:sz w:val="24"/>
        </w:rPr>
        <w:t>In addition to initiation fees, BF Goodrich is required to remit additional payments to Morgan above Rabobank’s interest payments.  These payments come it two forms.  The first is an annual fee of a.  Also, BF Goodrich is receives less than the LIBOR rate from Morgan by a factor of x.  BF Goodrich then has to make up this shortfall and add an additional .5% to it in order to complete the payments necessary on its bonds.  In order to determine the amount BF Goodrich would pay, we must look at alternative ways BF Goodrich could finance its debt in a similar way.  In exhibit 3, the 7 – 10 fixed interest rate for BBB rated companies is quoted at 12 – 12.5%.  We can determine the indifference point of both loan scenarios by solving the NPV of both cash flow streams and setting them equal.  Since the market has chosen the interest rate for such a transaction as 12%, we use the same rate as the discount rate (NPV of 12% coupon bond = 0).  With two separate fees, we get a non-unique answer for the combination of these variables.  BF Goodrich would prefer or be indifferent to obtaining its own financing as long as;</w:t>
      </w:r>
    </w:p>
    <w:p>
      <w:pPr>
        <w:pStyle w:val="Normal"/>
        <w:ind w:start="360" w:end="0"/>
        <w:rPr>
          <w:sz w:val="24"/>
        </w:rPr>
      </w:pPr>
      <w:r>
        <w:rPr>
          <w:sz w:val="24"/>
        </w:rPr>
      </w:r>
    </w:p>
    <w:p>
      <w:pPr>
        <w:pStyle w:val="Normal"/>
        <w:ind w:start="360" w:end="0"/>
        <w:rPr>
          <w:sz w:val="24"/>
        </w:rPr>
      </w:pPr>
      <w:r>
        <w:rPr>
          <w:sz w:val="24"/>
        </w:rPr>
        <w:tab/>
        <w:t>255,465(x) – 4.968(a) &lt;= 125,453.5</w:t>
      </w:r>
    </w:p>
    <w:p>
      <w:pPr>
        <w:pStyle w:val="Normal"/>
        <w:ind w:start="360" w:end="0"/>
        <w:rPr>
          <w:sz w:val="24"/>
        </w:rPr>
      </w:pPr>
      <w:r>
        <w:rPr>
          <w:sz w:val="24"/>
        </w:rPr>
      </w:r>
    </w:p>
    <w:p>
      <w:pPr>
        <w:pStyle w:val="Normal"/>
        <w:ind w:start="360" w:end="0"/>
        <w:rPr>
          <w:sz w:val="24"/>
        </w:rPr>
      </w:pPr>
      <w:r>
        <w:rPr>
          <w:sz w:val="24"/>
        </w:rPr>
        <w:t>NOTE TO GROUP:  See sheet two of attached excel file for more detailed analysis.</w:t>
      </w:r>
    </w:p>
    <w:p>
      <w:pPr>
        <w:pStyle w:val="Normal"/>
        <w:rPr>
          <w:sz w:val="24"/>
        </w:rPr>
      </w:pPr>
      <w:r>
        <w:rPr>
          <w:sz w:val="24"/>
        </w:rPr>
      </w:r>
    </w:p>
    <w:p>
      <w:pPr>
        <w:pStyle w:val="BodyTextIndent2"/>
        <w:rPr/>
      </w:pPr>
      <w:r>
        <w:rPr/>
        <w:t>X+F must be less than 150 bps in order for BF Goodrich to benefit from the swap arrangement.</w:t>
      </w:r>
    </w:p>
    <w:p>
      <w:pPr>
        <w:pStyle w:val="Normal"/>
        <w:ind w:firstLine="360" w:end="0"/>
        <w:rPr>
          <w:sz w:val="24"/>
        </w:rPr>
      </w:pPr>
      <w:r>
        <w:rPr>
          <w:sz w:val="24"/>
        </w:rPr>
      </w:r>
    </w:p>
    <w:p>
      <w:pPr>
        <w:pStyle w:val="Normal"/>
        <w:numPr>
          <w:ilvl w:val="0"/>
          <w:numId w:val="2"/>
        </w:numPr>
        <w:rPr>
          <w:sz w:val="24"/>
        </w:rPr>
      </w:pPr>
      <w:r>
        <w:rPr>
          <w:sz w:val="24"/>
        </w:rPr>
        <w:t>Is this an attractive alternative for the savings banks?</w:t>
      </w:r>
    </w:p>
    <w:p>
      <w:pPr>
        <w:pStyle w:val="Normal"/>
        <w:rPr>
          <w:sz w:val="24"/>
        </w:rPr>
      </w:pPr>
      <w:r>
        <w:rPr>
          <w:sz w:val="24"/>
        </w:rPr>
      </w:r>
    </w:p>
    <w:p>
      <w:pPr>
        <w:pStyle w:val="BodyTextIndent3"/>
        <w:rPr>
          <w:color w:val="FF0000"/>
        </w:rPr>
      </w:pPr>
      <w:r>
        <w:rPr/>
        <w:t xml:space="preserve">Savings banks would find this alternative attractive because it allows them to diversify their bond holdings to include variable rate debt that is based on a different interest rate.  Most variable rate bonds will be pegged to the US prime rate.  Although, the LIBOR moves very closely to the prime, there are times that the spread between them increases or decreases.  This will allow US banks that may have large barriers to obtaining foreign debt with the base rate or allow them to avoid the costs associated with attempting to trade bonds on a foreign market.   </w:t>
      </w:r>
    </w:p>
    <w:p>
      <w:pPr>
        <w:pStyle w:val="Normal"/>
        <w:ind w:start="360" w:end="0"/>
        <w:rPr>
          <w:color w:val="FF0000"/>
          <w:sz w:val="24"/>
        </w:rPr>
      </w:pPr>
      <w:r>
        <w:rPr>
          <w:color w:val="FF0000"/>
          <w:sz w:val="24"/>
        </w:rPr>
      </w:r>
    </w:p>
    <w:p>
      <w:pPr>
        <w:pStyle w:val="Normal"/>
        <w:ind w:start="360" w:end="0"/>
        <w:rPr/>
      </w:pPr>
      <w:r>
        <w:rPr>
          <w:color w:val="FF0000"/>
          <w:sz w:val="24"/>
        </w:rPr>
        <w:t>Dylan- you captured the essence of the answer.  I’m not sure I understand your last sentence.  My short answer is that banks would definitely like variable rate investment options since their liabilities are based on short-term variable rates typically the 90-day T-bill and/or Federal Funds rate.  While LIBOR and the T-bill rate has a high degree of correlation, there are times when the spread between the two will expand and contract.  Therefore, a LIBOR-based investment would not be a perfect hedge but is undoubtedly a better investment than on long-term fixed rate instruments.</w:t>
      </w:r>
      <w:r>
        <w:rPr>
          <w:sz w:val="24"/>
        </w:rPr>
        <w:t xml:space="preserve"> </w:t>
      </w:r>
    </w:p>
    <w:p>
      <w:pPr>
        <w:pStyle w:val="Normal"/>
        <w:rPr>
          <w:sz w:val="24"/>
        </w:rPr>
      </w:pPr>
      <w:r>
        <w:rPr>
          <w:sz w:val="24"/>
        </w:rPr>
      </w:r>
    </w:p>
    <w:p>
      <w:pPr>
        <w:pStyle w:val="Normal"/>
        <w:numPr>
          <w:ilvl w:val="0"/>
          <w:numId w:val="2"/>
        </w:numPr>
        <w:rPr>
          <w:sz w:val="24"/>
        </w:rPr>
      </w:pPr>
      <w:r>
        <w:rPr>
          <w:sz w:val="24"/>
        </w:rPr>
        <w:t>Is this a deal where everyone wins?  If not, who is the loser?</w:t>
      </w:r>
    </w:p>
    <w:p>
      <w:pPr>
        <w:pStyle w:val="Normal"/>
        <w:rPr>
          <w:sz w:val="24"/>
        </w:rPr>
      </w:pPr>
      <w:r>
        <w:rPr>
          <w:sz w:val="24"/>
        </w:rPr>
      </w:r>
    </w:p>
    <w:p>
      <w:pPr>
        <w:pStyle w:val="Normal"/>
        <w:rPr>
          <w:sz w:val="24"/>
        </w:rPr>
      </w:pPr>
      <w:r>
        <w:rPr>
          <w:sz w:val="24"/>
        </w:rPr>
      </w:r>
    </w:p>
    <w:p>
      <w:pPr>
        <w:pStyle w:val="Normal"/>
        <w:ind w:start="360" w:end="0"/>
        <w:rPr>
          <w:sz w:val="24"/>
        </w:rPr>
      </w:pPr>
      <w:r>
        <w:rPr>
          <w:sz w:val="24"/>
        </w:rPr>
        <w:t>In this situation everyone gains something in which they do not have.  BF Goodrich gets to “borrow” the good name of Rabobank in order to obtain lower price long-term fixed rate debt.  Rabobank receives a stipend from BF Goodrich for the use of their credit rating.  Morgan assumes some risk, but they are better at hedging that risk by actively trading securities and other instruments.  US savings banks get the opportunity to diversify their portfolios with a new type of pegged variable rate.</w:t>
      </w:r>
    </w:p>
    <w:p>
      <w:pPr>
        <w:pStyle w:val="Normal"/>
        <w:ind w:start="360" w:end="0"/>
        <w:rPr>
          <w:sz w:val="24"/>
        </w:rPr>
      </w:pPr>
      <w:r>
        <w:rPr>
          <w:sz w:val="24"/>
        </w:rPr>
      </w:r>
    </w:p>
    <w:p>
      <w:pPr>
        <w:pStyle w:val="Normal"/>
        <w:ind w:start="360" w:end="0"/>
        <w:rPr>
          <w:sz w:val="24"/>
        </w:rPr>
      </w:pPr>
      <w:r>
        <w:rPr>
          <w:sz w:val="24"/>
        </w:rPr>
        <w:t>The reason everyone wins is that this transaction works on comparative advantage.  Like two nations trading even though Rabobank is better at obtaining fixed and variable rate debt than Goodrich (lower interest rates), the spread between its two rates is narrower than Goodrich’s giving Goodrich a comparative advantage in variable debt.  Morgan has the advantage of hedging risk that neither Rabobank or Goodrich has.</w:t>
      </w:r>
    </w:p>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t>NOTE TO GROUP:  This is a very rough draft just first thought.  I plan to work with some pro forma income statements to work out scenarios.  I also thought I could graph the equation I made.  Let me know what you think.</w:t>
      </w:r>
    </w:p>
    <w:p>
      <w:pPr>
        <w:pStyle w:val="Normal"/>
        <w:rPr>
          <w:sz w:val="24"/>
        </w:rPr>
      </w:pPr>
      <w:r>
        <w:rPr>
          <w:sz w:val="24"/>
        </w:rPr>
      </w:r>
    </w:p>
    <w:p>
      <w:pPr>
        <w:pStyle w:val="Normal"/>
        <w:ind w:start="360" w:end="0"/>
        <w:rPr>
          <w:color w:val="FF0000"/>
          <w:sz w:val="24"/>
        </w:rPr>
      </w:pPr>
      <w:r>
        <w:rPr>
          <w:color w:val="FF0000"/>
          <w:sz w:val="24"/>
        </w:rPr>
        <w:t xml:space="preserve">Dylan- I like your answer.  Not much to add.  The swaps market is bigger today than the Treasury futures market which demonstrates that there are in fact real benefits to swaps.  It is a very liquid market today that allows for institutions to take advantage of some of the real inefficiencies in the capital markets.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color w:val="FF0000"/>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color w:val="FF0000"/>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color w:val="0000FF"/>
      <w:sz w:val="24"/>
    </w:rPr>
  </w:style>
  <w:style w:type="paragraph" w:styleId="BodyTextIndent2">
    <w:name w:val="Body Text Indent 2"/>
    <w:basedOn w:val="Normal"/>
    <w:qFormat/>
    <w:pPr>
      <w:ind w:hanging="0" w:start="360" w:end="0"/>
    </w:pPr>
    <w:rPr>
      <w:color w:val="FF0000"/>
      <w:sz w:val="24"/>
    </w:rPr>
  </w:style>
  <w:style w:type="paragraph" w:styleId="BodyTextIndent3">
    <w:name w:val="Body Text Indent 3"/>
    <w:basedOn w:val="Normal"/>
    <w:qFormat/>
    <w:pPr>
      <w:ind w:hanging="0" w:start="36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2001-03-09T02:56:00Z</dcterms:created>
  <dc:creator>Dylan &amp; Julie Windham</dc:creator>
  <dc:description/>
  <dc:language>en-CA</dc:language>
  <cp:lastModifiedBy>MIS Admin</cp:lastModifiedBy>
  <dcterms:modified xsi:type="dcterms:W3CDTF">2001-03-11T17:46:00Z</dcterms:modified>
  <cp:revision>13</cp:revision>
  <dc:subject/>
  <dc:title>Case 5:  The B</dc:title>
</cp:coreProperties>
</file>