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xBrp1"/>
        <w:tabs>
          <w:tab w:val="clear" w:pos="204"/>
        </w:tabs>
        <w:spacing w:lineRule="auto" w:line="240"/>
        <w:jc w:val="both"/>
        <w:rPr>
          <w:rFonts w:ascii="Arial" w:hAnsi="Arial" w:cs="Arial"/>
        </w:rPr>
      </w:pPr>
      <w:r>
        <w:rPr>
          <w:rFonts w:cs="Arial" w:ascii="Arial" w:hAnsi="Arial"/>
        </w:rPr>
      </w:r>
    </w:p>
    <w:p>
      <w:pPr>
        <w:pStyle w:val="Normal"/>
        <w:jc w:val="both"/>
        <w:rPr/>
      </w:pPr>
      <w:r>
        <w:rPr/>
        <w:t>This Netting Agreement is made on [           ]</w:t>
        <w:tab/>
        <w:t xml:space="preserve"> November 2001 between:</w:t>
      </w:r>
    </w:p>
    <w:p>
      <w:pPr>
        <w:pStyle w:val="Normal"/>
        <w:jc w:val="both"/>
        <w:rPr>
          <w:sz w:val="20"/>
        </w:rPr>
      </w:pPr>
      <w:r>
        <w:rPr>
          <w:sz w:val="20"/>
        </w:rPr>
      </w:r>
    </w:p>
    <w:p>
      <w:pPr>
        <w:pStyle w:val="Normal"/>
        <w:jc w:val="both"/>
        <w:rPr>
          <w:sz w:val="20"/>
        </w:rPr>
      </w:pPr>
      <w:r>
        <w:rPr>
          <w:sz w:val="20"/>
        </w:rPr>
      </w:r>
    </w:p>
    <w:p>
      <w:pPr>
        <w:pStyle w:val="Normal"/>
        <w:jc w:val="both"/>
        <w:rPr>
          <w:sz w:val="20"/>
        </w:rPr>
      </w:pPr>
      <w:r>
        <w:rPr>
          <w:sz w:val="20"/>
        </w:rPr>
      </w:r>
    </w:p>
    <w:p>
      <w:pPr>
        <w:pStyle w:val="Normal"/>
        <w:numPr>
          <w:ilvl w:val="0"/>
          <w:numId w:val="8"/>
        </w:numPr>
        <w:jc w:val="both"/>
        <w:rPr/>
      </w:pPr>
      <w:r>
        <w:rPr>
          <w:b/>
        </w:rPr>
        <w:t>British Energy Power and Energy Trading Limited</w:t>
      </w:r>
      <w:r>
        <w:rPr/>
        <w:t xml:space="preserve"> of 3 Redwood Crescent, Peel Park, East Kilbride, G74 5PR ("</w:t>
      </w:r>
      <w:r>
        <w:rPr>
          <w:b/>
          <w:bCs/>
        </w:rPr>
        <w:t>BEPETL</w:t>
      </w:r>
      <w:r>
        <w:rPr/>
        <w:t>"); and</w:t>
      </w:r>
    </w:p>
    <w:p>
      <w:pPr>
        <w:pStyle w:val="TxBrp0"/>
        <w:tabs>
          <w:tab w:val="clear" w:pos="204"/>
        </w:tabs>
        <w:spacing w:lineRule="auto" w:line="240"/>
        <w:rPr/>
      </w:pPr>
      <w:r>
        <w:rPr/>
      </w:r>
    </w:p>
    <w:p>
      <w:pPr>
        <w:pStyle w:val="Normal"/>
        <w:numPr>
          <w:ilvl w:val="0"/>
          <w:numId w:val="8"/>
        </w:numPr>
        <w:jc w:val="both"/>
        <w:rPr/>
      </w:pPr>
      <w:r>
        <w:rPr>
          <w:b/>
        </w:rPr>
        <w:t xml:space="preserve">Enron Capital Trade &amp; Resources Limited </w:t>
      </w:r>
      <w:r>
        <w:rPr>
          <w:bCs/>
        </w:rPr>
        <w:t>(a company organised in England and Wales with registration number 2415924) of Enron House, 40 Grosvenor Place, London SW1X 7EN, United Kingdom</w:t>
      </w:r>
      <w:r>
        <w:rPr>
          <w:b/>
        </w:rPr>
        <w:t xml:space="preserve"> </w:t>
      </w:r>
      <w:r>
        <w:rPr/>
        <w:t>("</w:t>
      </w:r>
      <w:r>
        <w:rPr>
          <w:b/>
          <w:bCs/>
        </w:rPr>
        <w:t>Enron</w:t>
      </w:r>
      <w:r>
        <w:rPr/>
        <w:t>")</w:t>
      </w:r>
    </w:p>
    <w:p>
      <w:pPr>
        <w:pStyle w:val="TxBrp0"/>
        <w:tabs>
          <w:tab w:val="clear" w:pos="204"/>
        </w:tabs>
        <w:spacing w:lineRule="auto" w:line="240"/>
        <w:rPr/>
      </w:pPr>
      <w:r>
        <w:rPr/>
      </w:r>
    </w:p>
    <w:p>
      <w:pPr>
        <w:pStyle w:val="TxBrp0"/>
        <w:tabs>
          <w:tab w:val="clear" w:pos="204"/>
        </w:tabs>
        <w:spacing w:lineRule="auto" w:line="240"/>
        <w:rPr/>
      </w:pPr>
      <w:r>
        <w:rPr/>
      </w:r>
    </w:p>
    <w:p>
      <w:pPr>
        <w:pStyle w:val="Normal"/>
        <w:jc w:val="both"/>
        <w:rPr>
          <w:b/>
        </w:rPr>
      </w:pPr>
      <w:r>
        <w:rPr>
          <w:b/>
        </w:rPr>
        <w:t>Whereas:</w:t>
      </w:r>
    </w:p>
    <w:p>
      <w:pPr>
        <w:pStyle w:val="Normal"/>
        <w:jc w:val="both"/>
        <w:rPr>
          <w:b/>
        </w:rPr>
      </w:pPr>
      <w:r>
        <w:rPr>
          <w:b/>
        </w:rPr>
      </w:r>
    </w:p>
    <w:p>
      <w:pPr>
        <w:pStyle w:val="Normal"/>
        <w:ind w:hanging="1080" w:start="1080" w:end="0"/>
        <w:jc w:val="both"/>
        <w:rPr/>
      </w:pPr>
      <w:r>
        <w:rPr>
          <w:bCs/>
        </w:rPr>
        <w:t>(A)</w:t>
      </w:r>
      <w:r>
        <w:rPr>
          <w:b/>
        </w:rPr>
        <w:t xml:space="preserve"> </w:t>
        <w:tab/>
      </w:r>
      <w:r>
        <w:rPr/>
        <w:t>BEPETL and Enron (together the "parties" and each a "party") have entered into and intend to continue entering into:</w:t>
      </w:r>
    </w:p>
    <w:p>
      <w:pPr>
        <w:pStyle w:val="Normal"/>
        <w:jc w:val="both"/>
        <w:rPr/>
      </w:pPr>
      <w:r>
        <w:rPr/>
      </w:r>
    </w:p>
    <w:p>
      <w:pPr>
        <w:pStyle w:val="Normal"/>
        <w:ind w:hanging="780" w:start="1080" w:end="0"/>
        <w:jc w:val="both"/>
        <w:rPr/>
      </w:pPr>
      <w:r>
        <w:rPr/>
        <w:t>(i)</w:t>
        <w:tab/>
        <w:t xml:space="preserve">transactions ("Electricity Transactions") to purchase and sell electricity pursuant to the terms of an Electricity Forward Agreement Association Grid Trade Master Agreement dated [                 ] (the “GTMA”); </w:t>
      </w:r>
    </w:p>
    <w:p>
      <w:pPr>
        <w:pStyle w:val="Normal"/>
        <w:jc w:val="both"/>
        <w:rPr/>
      </w:pPr>
      <w:r>
        <w:rPr/>
      </w:r>
    </w:p>
    <w:p>
      <w:pPr>
        <w:pStyle w:val="Normal"/>
        <w:numPr>
          <w:ilvl w:val="0"/>
          <w:numId w:val="7"/>
        </w:numPr>
        <w:jc w:val="both"/>
        <w:rPr/>
      </w:pPr>
      <w:r>
        <w:rPr/>
        <w:t>transactions ("Coal Transactions” and, together with the Electricity Transactions, the “Transactions") to purchase and sell coal pursuant to the terms of a Master Coal Purchase and Sale Agreement dated 30 March 2000, originally between Enron Coal Services Limited and Eggborough Power Power Limited (the “Coal Master” and, together with the GTMA, the “Master Agreements”).</w:t>
      </w:r>
    </w:p>
    <w:p>
      <w:pPr>
        <w:pStyle w:val="TxBrp0"/>
        <w:tabs>
          <w:tab w:val="clear" w:pos="204"/>
        </w:tabs>
        <w:spacing w:lineRule="auto" w:line="240"/>
        <w:rPr/>
      </w:pPr>
      <w:r>
        <w:rPr/>
      </w:r>
    </w:p>
    <w:p>
      <w:pPr>
        <w:pStyle w:val="Normal"/>
        <w:ind w:hanging="1080" w:start="1080" w:end="0"/>
        <w:jc w:val="both"/>
        <w:rPr/>
      </w:pPr>
      <w:r>
        <w:rPr>
          <w:bCs/>
        </w:rPr>
        <w:t>(B)</w:t>
      </w:r>
      <w:r>
        <w:rPr>
          <w:b/>
        </w:rPr>
        <w:tab/>
      </w:r>
      <w:r>
        <w:rPr/>
        <w:t>BEPETL and Enron wish to provide for close out netting in respect of the Transactions in the circumstances and in the manner set out below.</w:t>
      </w:r>
    </w:p>
    <w:p>
      <w:pPr>
        <w:pStyle w:val="TxBrp0"/>
        <w:tabs>
          <w:tab w:val="clear" w:pos="204"/>
        </w:tabs>
        <w:spacing w:lineRule="auto" w:line="240"/>
        <w:rPr/>
      </w:pPr>
      <w:r>
        <w:rPr/>
      </w:r>
    </w:p>
    <w:p>
      <w:pPr>
        <w:pStyle w:val="Normal"/>
        <w:jc w:val="both"/>
        <w:rPr/>
      </w:pPr>
      <w:r>
        <w:rPr>
          <w:b/>
        </w:rPr>
        <w:t>Now Therefore</w:t>
      </w:r>
      <w:r>
        <w:rPr/>
        <w:t xml:space="preserve"> in consideration of the mutual undertakings herein the parties agree as follows:</w:t>
      </w:r>
    </w:p>
    <w:p>
      <w:pPr>
        <w:pStyle w:val="TxBrp0"/>
        <w:tabs>
          <w:tab w:val="clear" w:pos="204"/>
        </w:tabs>
        <w:spacing w:lineRule="auto" w:line="240"/>
        <w:rPr/>
      </w:pPr>
      <w:r>
        <w:rPr/>
      </w:r>
    </w:p>
    <w:p>
      <w:pPr>
        <w:pStyle w:val="Normal"/>
        <w:jc w:val="both"/>
        <w:rPr>
          <w:b/>
        </w:rPr>
      </w:pPr>
      <w:r>
        <w:rPr>
          <w:b/>
        </w:rPr>
        <w:t>1.</w:t>
        <w:tab/>
        <w:t>Close-out Netting</w:t>
      </w:r>
    </w:p>
    <w:p>
      <w:pPr>
        <w:pStyle w:val="TxBrp0"/>
        <w:tabs>
          <w:tab w:val="clear" w:pos="204"/>
        </w:tabs>
        <w:spacing w:lineRule="auto" w:line="240"/>
        <w:rPr>
          <w:b/>
        </w:rPr>
      </w:pPr>
      <w:r>
        <w:rPr>
          <w:b/>
        </w:rPr>
      </w:r>
    </w:p>
    <w:p>
      <w:pPr>
        <w:pStyle w:val="BodyTextIndent2"/>
        <w:rPr>
          <w:rFonts w:ascii="Times New Roman" w:hAnsi="Times New Roman" w:cs="Times New Roman"/>
        </w:rPr>
      </w:pPr>
      <w:r>
        <w:rPr>
          <w:rFonts w:cs="Times New Roman" w:ascii="Times New Roman" w:hAnsi="Times New Roman"/>
        </w:rPr>
        <w:t>(a)</w:t>
        <w:tab/>
        <w:t>If a party or any affiliated entity providing credit support (a "Credit Support Provider") for a party in respect of any Transactions:</w:t>
      </w:r>
    </w:p>
    <w:p>
      <w:pPr>
        <w:pStyle w:val="TxBrp0"/>
        <w:tabs>
          <w:tab w:val="clear" w:pos="204"/>
        </w:tabs>
        <w:spacing w:lineRule="auto" w:line="240"/>
        <w:rPr>
          <w:rFonts w:ascii="Times New Roman" w:hAnsi="Times New Roman" w:cs="Times New Roman"/>
        </w:rPr>
      </w:pPr>
      <w:r>
        <w:rPr>
          <w:rFonts w:cs="Times New Roman"/>
        </w:rPr>
      </w:r>
    </w:p>
    <w:p>
      <w:pPr>
        <w:pStyle w:val="TxBrp0"/>
        <w:numPr>
          <w:ilvl w:val="0"/>
          <w:numId w:val="4"/>
        </w:numPr>
        <w:tabs>
          <w:tab w:val="clear" w:pos="204"/>
          <w:tab w:val="left" w:pos="709" w:leader="none"/>
        </w:tabs>
        <w:spacing w:lineRule="auto" w:line="240"/>
        <w:rPr/>
      </w:pPr>
      <w:r>
        <w:rPr/>
        <w:t>is dissolved (other than pursuant to a consolidation, amalgamation or merger);</w:t>
      </w:r>
    </w:p>
    <w:p>
      <w:pPr>
        <w:pStyle w:val="TxBrp0"/>
        <w:tabs>
          <w:tab w:val="clear" w:pos="204"/>
          <w:tab w:val="left" w:pos="709" w:leader="none"/>
        </w:tabs>
        <w:spacing w:lineRule="auto" w:line="240"/>
        <w:ind w:start="705" w:end="0"/>
        <w:rPr/>
      </w:pPr>
      <w:r>
        <w:rPr/>
      </w:r>
    </w:p>
    <w:p>
      <w:pPr>
        <w:pStyle w:val="Normal"/>
        <w:numPr>
          <w:ilvl w:val="0"/>
          <w:numId w:val="4"/>
        </w:numPr>
        <w:tabs>
          <w:tab w:val="clear" w:pos="720"/>
          <w:tab w:val="left" w:pos="709" w:leader="none"/>
        </w:tabs>
        <w:jc w:val="both"/>
        <w:rPr/>
      </w:pPr>
      <w:r>
        <w:rPr/>
        <w:t>becomes insolvent or is unable to pay its debts or fails or admits in writing its inability generally to pay its debts as they become due;</w:t>
      </w:r>
    </w:p>
    <w:p>
      <w:pPr>
        <w:pStyle w:val="Normal"/>
        <w:tabs>
          <w:tab w:val="clear" w:pos="720"/>
          <w:tab w:val="left" w:pos="709" w:leader="none"/>
        </w:tabs>
        <w:jc w:val="both"/>
        <w:rPr/>
      </w:pPr>
      <w:r>
        <w:rPr/>
      </w:r>
    </w:p>
    <w:p>
      <w:pPr>
        <w:pStyle w:val="Normal"/>
        <w:tabs>
          <w:tab w:val="clear" w:pos="720"/>
          <w:tab w:val="left" w:pos="709" w:leader="none"/>
        </w:tabs>
        <w:jc w:val="both"/>
        <w:rPr/>
      </w:pPr>
      <w:r>
        <w:rPr/>
      </w:r>
    </w:p>
    <w:p>
      <w:pPr>
        <w:pStyle w:val="Normal"/>
        <w:numPr>
          <w:ilvl w:val="0"/>
          <w:numId w:val="4"/>
        </w:numPr>
        <w:tabs>
          <w:tab w:val="clear" w:pos="720"/>
          <w:tab w:val="left" w:pos="709" w:leader="none"/>
        </w:tabs>
        <w:jc w:val="both"/>
        <w:rPr/>
      </w:pPr>
      <w:r>
        <w:rPr/>
        <w:t>makes a general assignment, arrangement or composition with or for the benefit of its creditors;</w:t>
      </w:r>
    </w:p>
    <w:p>
      <w:pPr>
        <w:pStyle w:val="Normal"/>
        <w:tabs>
          <w:tab w:val="clear" w:pos="720"/>
          <w:tab w:val="left" w:pos="709" w:leader="none"/>
        </w:tabs>
        <w:jc w:val="both"/>
        <w:rPr/>
      </w:pPr>
      <w:r>
        <w:rPr/>
      </w:r>
    </w:p>
    <w:p>
      <w:pPr>
        <w:pStyle w:val="Normal"/>
        <w:tabs>
          <w:tab w:val="clear" w:pos="720"/>
          <w:tab w:val="left" w:pos="709" w:leader="none"/>
        </w:tabs>
        <w:jc w:val="both"/>
        <w:rPr/>
      </w:pPr>
      <w:r>
        <w:rPr/>
      </w:r>
    </w:p>
    <w:p>
      <w:pPr>
        <w:pStyle w:val="Normal"/>
        <w:numPr>
          <w:ilvl w:val="0"/>
          <w:numId w:val="4"/>
        </w:numPr>
        <w:tabs>
          <w:tab w:val="clear" w:pos="720"/>
          <w:tab w:val="left" w:pos="709" w:leader="none"/>
        </w:tabs>
        <w:jc w:val="both"/>
        <w:rPr/>
      </w:pPr>
      <w:r>
        <w:rPr/>
        <w:t xml:space="preserve">institutes or has instituted against it a proceeding seeking a judgment of insolvency or bankruptcy or any other relief under any bankruptcy or insolvency law or other similar law affecting creditors' rights or a petition is presented for its winding-up or liquidation and, in the case of any such proceeding or petition instituted or presented against it, such proceeding or petition (aa) results in a judgement of insolvency or bankruptcy or the entry of an order for relief or the making of an order for its winding-up or liquidation or (bb) is not dismissed, discharged, stayed or restrained in each case within 30 days of the institution or presentation thereof; </w:t>
      </w:r>
    </w:p>
    <w:p>
      <w:pPr>
        <w:pStyle w:val="Normal"/>
        <w:tabs>
          <w:tab w:val="clear" w:pos="720"/>
          <w:tab w:val="left" w:pos="709" w:leader="none"/>
        </w:tabs>
        <w:jc w:val="both"/>
        <w:rPr/>
      </w:pPr>
      <w:r>
        <w:rPr/>
      </w:r>
    </w:p>
    <w:p>
      <w:pPr>
        <w:pStyle w:val="Normal"/>
        <w:tabs>
          <w:tab w:val="clear" w:pos="720"/>
          <w:tab w:val="left" w:pos="709" w:leader="none"/>
        </w:tabs>
        <w:jc w:val="both"/>
        <w:rPr/>
      </w:pPr>
      <w:r>
        <w:rPr/>
      </w:r>
    </w:p>
    <w:p>
      <w:pPr>
        <w:pStyle w:val="Normal"/>
        <w:numPr>
          <w:ilvl w:val="0"/>
          <w:numId w:val="4"/>
        </w:numPr>
        <w:tabs>
          <w:tab w:val="clear" w:pos="720"/>
          <w:tab w:val="left" w:pos="709" w:leader="none"/>
        </w:tabs>
        <w:jc w:val="both"/>
        <w:rPr/>
      </w:pPr>
      <w:r>
        <w:rPr/>
        <w:t xml:space="preserve">has a resolution passed for its winding-up, official management or liquidation (other than pursuant to a consolidation, amalgamation or merger); </w:t>
      </w:r>
    </w:p>
    <w:p>
      <w:pPr>
        <w:pStyle w:val="Normal"/>
        <w:tabs>
          <w:tab w:val="clear" w:pos="720"/>
          <w:tab w:val="left" w:pos="709" w:leader="none"/>
        </w:tabs>
        <w:jc w:val="both"/>
        <w:rPr/>
      </w:pPr>
      <w:r>
        <w:rPr/>
      </w:r>
    </w:p>
    <w:p>
      <w:pPr>
        <w:pStyle w:val="Normal"/>
        <w:tabs>
          <w:tab w:val="clear" w:pos="720"/>
          <w:tab w:val="left" w:pos="709" w:leader="none"/>
        </w:tabs>
        <w:jc w:val="both"/>
        <w:rPr/>
      </w:pPr>
      <w:r>
        <w:rPr/>
      </w:r>
    </w:p>
    <w:p>
      <w:pPr>
        <w:pStyle w:val="Normal"/>
        <w:numPr>
          <w:ilvl w:val="0"/>
          <w:numId w:val="4"/>
        </w:numPr>
        <w:tabs>
          <w:tab w:val="clear" w:pos="720"/>
          <w:tab w:val="left" w:pos="709" w:leader="none"/>
        </w:tabs>
        <w:jc w:val="both"/>
        <w:rPr/>
      </w:pPr>
      <w:r>
        <w:rPr/>
        <w:t xml:space="preserve">seeks or becomes subject to the appointment of an administrator, provisional liquidator, conservator, receiver, trustee, custodian or other similar official for it or for all or substantially all its assets; </w:t>
      </w:r>
    </w:p>
    <w:p>
      <w:pPr>
        <w:pStyle w:val="Normal"/>
        <w:tabs>
          <w:tab w:val="clear" w:pos="720"/>
          <w:tab w:val="left" w:pos="709" w:leader="none"/>
        </w:tabs>
        <w:jc w:val="both"/>
        <w:rPr/>
      </w:pPr>
      <w:r>
        <w:rPr/>
      </w:r>
    </w:p>
    <w:p>
      <w:pPr>
        <w:pStyle w:val="Normal"/>
        <w:tabs>
          <w:tab w:val="clear" w:pos="720"/>
          <w:tab w:val="left" w:pos="709" w:leader="none"/>
        </w:tabs>
        <w:jc w:val="both"/>
        <w:rPr/>
      </w:pPr>
      <w:r>
        <w:rPr/>
      </w:r>
    </w:p>
    <w:p>
      <w:pPr>
        <w:pStyle w:val="Normal"/>
        <w:numPr>
          <w:ilvl w:val="0"/>
          <w:numId w:val="4"/>
        </w:numPr>
        <w:tabs>
          <w:tab w:val="clear" w:pos="720"/>
          <w:tab w:val="left" w:pos="709" w:leader="none"/>
        </w:tabs>
        <w:jc w:val="both"/>
        <w:rPr/>
      </w:pPr>
      <w:r>
        <w:rPr/>
        <w:t xml:space="preserve">has  a secured party take possession of all or substantially all its assets or has a distress, execution, attachment, sequestration or other legal process levied, enforced or sued on or against all or substantially all its assets and such secured party maintains possession, or any such process is not dismissed, discharged, stayed or restrained, in each case within 30 days thereafter; </w:t>
      </w:r>
    </w:p>
    <w:p>
      <w:pPr>
        <w:pStyle w:val="Normal"/>
        <w:tabs>
          <w:tab w:val="clear" w:pos="720"/>
          <w:tab w:val="left" w:pos="709" w:leader="none"/>
        </w:tabs>
        <w:jc w:val="both"/>
        <w:rPr/>
      </w:pPr>
      <w:r>
        <w:rPr/>
      </w:r>
    </w:p>
    <w:p>
      <w:pPr>
        <w:pStyle w:val="Normal"/>
        <w:tabs>
          <w:tab w:val="clear" w:pos="720"/>
          <w:tab w:val="left" w:pos="709" w:leader="none"/>
        </w:tabs>
        <w:jc w:val="both"/>
        <w:rPr/>
      </w:pPr>
      <w:r>
        <w:rPr/>
      </w:r>
    </w:p>
    <w:p>
      <w:pPr>
        <w:pStyle w:val="Normal"/>
        <w:numPr>
          <w:ilvl w:val="0"/>
          <w:numId w:val="4"/>
        </w:numPr>
        <w:tabs>
          <w:tab w:val="clear" w:pos="720"/>
          <w:tab w:val="left" w:pos="709" w:leader="none"/>
        </w:tabs>
        <w:jc w:val="both"/>
        <w:rPr/>
      </w:pPr>
      <w:r>
        <w:rPr/>
        <w:t xml:space="preserve">causes or is subject to any event with respect to it which, under the applicable laws of any jurisdiction, has an analogous effect to any of the events specified in clauses (i) to (vii) (inclusive); or </w:t>
      </w:r>
    </w:p>
    <w:p>
      <w:pPr>
        <w:pStyle w:val="Normal"/>
        <w:tabs>
          <w:tab w:val="clear" w:pos="720"/>
          <w:tab w:val="left" w:pos="709" w:leader="none"/>
        </w:tabs>
        <w:jc w:val="both"/>
        <w:rPr/>
      </w:pPr>
      <w:r>
        <w:rPr/>
      </w:r>
    </w:p>
    <w:p>
      <w:pPr>
        <w:pStyle w:val="Normal"/>
        <w:tabs>
          <w:tab w:val="clear" w:pos="720"/>
          <w:tab w:val="left" w:pos="709" w:leader="none"/>
        </w:tabs>
        <w:jc w:val="both"/>
        <w:rPr/>
      </w:pPr>
      <w:r>
        <w:rPr/>
      </w:r>
    </w:p>
    <w:p>
      <w:pPr>
        <w:pStyle w:val="Normal"/>
        <w:tabs>
          <w:tab w:val="clear" w:pos="720"/>
          <w:tab w:val="left" w:pos="709" w:leader="none"/>
        </w:tabs>
        <w:ind w:hanging="1418" w:start="1418" w:end="0"/>
        <w:jc w:val="both"/>
        <w:rPr/>
      </w:pPr>
      <w:r>
        <w:rPr/>
        <w:tab/>
        <w:t xml:space="preserve">(ix) </w:t>
        <w:tab/>
        <w:t xml:space="preserve">takes any action in furtherance of, or indicating its consent to, approval of, or acquiescence in any of the foregoing acts; </w:t>
      </w:r>
      <w:r>
        <w:br w:type="page"/>
      </w:r>
    </w:p>
    <w:p>
      <w:pPr>
        <w:pStyle w:val="TxBrp0"/>
        <w:tabs>
          <w:tab w:val="clear" w:pos="204"/>
        </w:tabs>
        <w:spacing w:lineRule="auto" w:line="240"/>
        <w:rPr/>
      </w:pPr>
      <w:r>
        <w:rPr/>
      </w:r>
    </w:p>
    <w:p>
      <w:pPr>
        <w:pStyle w:val="TxBrp0"/>
        <w:tabs>
          <w:tab w:val="clear" w:pos="204"/>
          <w:tab w:val="left" w:pos="2977" w:leader="none"/>
        </w:tabs>
        <w:spacing w:lineRule="auto" w:line="240"/>
        <w:ind w:start="709" w:end="0"/>
        <w:rPr/>
      </w:pPr>
      <w:r>
        <w:rPr/>
        <w:t>entitling the Non-Defaulting Party to designate an Early Termination Date under either or both Master Agreements then, upon the occurrence of any such Event of Default the Non-Defaulting Party may, in respect of both (but not only one) of the Master Agreements, by not more than 20 days' notice in writing to the Defaulting Party specifying the relevant Event of Default, designate a single Early Termination Date for both Master Agreements (such date being not earlier than the day of such notice) notwithstanding any provision in either Master Agreement to the contrary.</w:t>
      </w:r>
    </w:p>
    <w:p>
      <w:pPr>
        <w:pStyle w:val="TxBrp0"/>
        <w:tabs>
          <w:tab w:val="clear" w:pos="204"/>
        </w:tabs>
        <w:spacing w:lineRule="auto" w:line="240"/>
        <w:rPr/>
      </w:pPr>
      <w:r>
        <w:rPr/>
      </w:r>
    </w:p>
    <w:p>
      <w:pPr>
        <w:pStyle w:val="Normal"/>
        <w:numPr>
          <w:ilvl w:val="0"/>
          <w:numId w:val="5"/>
        </w:numPr>
        <w:jc w:val="both"/>
        <w:rPr/>
      </w:pPr>
      <w:r>
        <w:rPr/>
        <w:t xml:space="preserve">Upon the service of a notice in accordance with clause 1(a), no further payments or deliveries in respect of the Transactions shall be made.  </w:t>
      </w:r>
    </w:p>
    <w:p>
      <w:pPr>
        <w:pStyle w:val="TxBrp0"/>
        <w:tabs>
          <w:tab w:val="clear" w:pos="204"/>
        </w:tabs>
        <w:spacing w:lineRule="auto" w:line="240"/>
        <w:rPr/>
      </w:pPr>
      <w:r>
        <w:rPr/>
      </w:r>
    </w:p>
    <w:p>
      <w:pPr>
        <w:pStyle w:val="Normal"/>
        <w:numPr>
          <w:ilvl w:val="0"/>
          <w:numId w:val="5"/>
        </w:numPr>
        <w:jc w:val="both"/>
        <w:rPr/>
      </w:pPr>
      <w:r>
        <w:rPr/>
        <w:t>Upon termination of all Transactions in accordance with clause 1(a), the Non-Defaulting Party shall:</w:t>
      </w:r>
    </w:p>
    <w:p>
      <w:pPr>
        <w:pStyle w:val="Normal"/>
        <w:jc w:val="both"/>
        <w:rPr/>
      </w:pPr>
      <w:r>
        <w:rPr/>
      </w:r>
    </w:p>
    <w:p>
      <w:pPr>
        <w:pStyle w:val="Normal"/>
        <w:numPr>
          <w:ilvl w:val="0"/>
          <w:numId w:val="6"/>
        </w:numPr>
        <w:jc w:val="both"/>
        <w:rPr/>
      </w:pPr>
      <w:r>
        <w:rPr/>
        <w:t>in respect of all Electricity Transactions, calculate a Termination Payment in accordance with clause 12.5 of the GTMA;</w:t>
      </w:r>
    </w:p>
    <w:p>
      <w:pPr>
        <w:pStyle w:val="Normal"/>
        <w:ind w:start="720" w:end="0"/>
        <w:jc w:val="both"/>
        <w:rPr/>
      </w:pPr>
      <w:r>
        <w:rPr/>
      </w:r>
    </w:p>
    <w:p>
      <w:pPr>
        <w:pStyle w:val="Normal"/>
        <w:numPr>
          <w:ilvl w:val="0"/>
          <w:numId w:val="6"/>
        </w:numPr>
        <w:jc w:val="both"/>
        <w:rPr/>
      </w:pPr>
      <w:r>
        <w:rPr/>
        <w:t>in respect of all Coal Transactions, and notwithstanding any provision of the Coal Master to the contrary, calculate a Termination Payment for such Coal Transactions using the methodology set out in clause 12.5 of the GTMA and applying the “Loss” termination payment method;</w:t>
      </w:r>
    </w:p>
    <w:p>
      <w:pPr>
        <w:pStyle w:val="Normal"/>
        <w:jc w:val="both"/>
        <w:rPr/>
      </w:pPr>
      <w:r>
        <w:rPr/>
      </w:r>
    </w:p>
    <w:p>
      <w:pPr>
        <w:pStyle w:val="Normal"/>
        <w:numPr>
          <w:ilvl w:val="0"/>
          <w:numId w:val="6"/>
        </w:numPr>
        <w:jc w:val="both"/>
        <w:rPr/>
      </w:pPr>
      <w:r>
        <w:rPr/>
        <w:t xml:space="preserve"> </w:t>
      </w:r>
      <w:r>
        <w:rPr/>
        <w:t xml:space="preserve">aggregate or net the Termination Payments calculated in (i) and (ii) above, as appropriate, to produce a single net sum payable by one party to the other, as applicable, in respect of all Transactions, subject to clause 1(g). </w:t>
      </w:r>
    </w:p>
    <w:p>
      <w:pPr>
        <w:pStyle w:val="Normal"/>
        <w:jc w:val="both"/>
        <w:rPr/>
      </w:pPr>
      <w:r>
        <w:rPr/>
      </w:r>
    </w:p>
    <w:p>
      <w:pPr>
        <w:pStyle w:val="Normal"/>
        <w:numPr>
          <w:ilvl w:val="0"/>
          <w:numId w:val="5"/>
        </w:numPr>
        <w:jc w:val="both"/>
        <w:rPr/>
      </w:pPr>
      <w:r>
        <w:rPr/>
        <w:t>On or as soon as reasonably practicable following service of a notice in accordance with clause 1(a), the Non-Defaulting Party shall make the calculations referred to in clause 1(c) and shall provide to the Defaulting Party a statement showing, in reasonable detail, such calculations (including any and all published indices relied on) and specifying the net amount payable, if any.</w:t>
      </w:r>
    </w:p>
    <w:p>
      <w:pPr>
        <w:pStyle w:val="Normal"/>
        <w:jc w:val="both"/>
        <w:rPr/>
      </w:pPr>
      <w:r>
        <w:rPr/>
      </w:r>
    </w:p>
    <w:p>
      <w:pPr>
        <w:pStyle w:val="Normal"/>
        <w:numPr>
          <w:ilvl w:val="0"/>
          <w:numId w:val="5"/>
        </w:numPr>
        <w:jc w:val="both"/>
        <w:rPr/>
      </w:pPr>
      <w:r>
        <w:rPr/>
        <w:t>The party due to receive the amount calculated in accordance with clause 1(d) shall invoice the other party for the same.  The amount set out in such invoice shall be due and payable on the day that is (5) five working days after the day of receipt of the invoice by the paying party (the "Due Date").  Interest shall be payable on such amount (before as well as after judgment) in pounds sterling from (and including) the Due Date to (but excluding) the date such amount is paid at the rate set out in clause 3.</w:t>
      </w:r>
    </w:p>
    <w:p>
      <w:pPr>
        <w:pStyle w:val="Normal"/>
        <w:jc w:val="both"/>
        <w:rPr/>
      </w:pPr>
      <w:r>
        <w:rPr/>
      </w:r>
    </w:p>
    <w:p>
      <w:pPr>
        <w:pStyle w:val="Normal"/>
        <w:numPr>
          <w:ilvl w:val="0"/>
          <w:numId w:val="2"/>
        </w:numPr>
        <w:jc w:val="both"/>
        <w:rPr/>
      </w:pPr>
      <w:r>
        <w:rPr/>
        <w:t>The parties agree that the amount recoverable under clause 1(c) is a reasonable pre-</w:t>
        <w:softHyphen/>
        <w:t>estimate of loss and not a penalty. Such amount is payable for the loss of bargain and the loss of protection against future risks and, except as otherwise specifically provided under the terms of any Transaction, neither party will be entitled to recover any additional damages as a consequence of such losses (including, without limitaion, under clause 9.2 of the Coal Master).</w:t>
      </w:r>
    </w:p>
    <w:p>
      <w:pPr>
        <w:pStyle w:val="TxBrp1"/>
        <w:tabs>
          <w:tab w:val="clear" w:pos="204"/>
        </w:tabs>
        <w:spacing w:lineRule="auto" w:line="240"/>
        <w:jc w:val="both"/>
        <w:rPr/>
      </w:pPr>
      <w:r>
        <w:rPr/>
      </w:r>
    </w:p>
    <w:p>
      <w:pPr>
        <w:pStyle w:val="Normal"/>
        <w:numPr>
          <w:ilvl w:val="0"/>
          <w:numId w:val="2"/>
        </w:numPr>
        <w:jc w:val="both"/>
        <w:rPr/>
      </w:pPr>
      <w:r>
        <w:rPr/>
        <w:t>If the Event of Default is also an event of default that leads to the termination of any other trading transactions between the parties in accordance with the terms of any netting agreement in respect of such other transactions, then the amount calculated as payable under clause 1(c) above shall be set off against any amount calculated in accordance with such netting agreement as payable as a result of termination of such other transactions thereunder.</w:t>
      </w:r>
    </w:p>
    <w:p>
      <w:pPr>
        <w:pStyle w:val="TxBrp0"/>
        <w:tabs>
          <w:tab w:val="clear" w:pos="204"/>
        </w:tabs>
        <w:spacing w:lineRule="auto" w:line="240"/>
        <w:rPr/>
      </w:pPr>
      <w:r>
        <w:rPr/>
      </w:r>
    </w:p>
    <w:p>
      <w:pPr>
        <w:pStyle w:val="Normal"/>
        <w:jc w:val="both"/>
        <w:rPr>
          <w:b/>
        </w:rPr>
      </w:pPr>
      <w:r>
        <w:rPr>
          <w:b/>
        </w:rPr>
        <w:t>2.</w:t>
        <w:tab/>
        <w:t>Currency Conversion</w:t>
      </w:r>
    </w:p>
    <w:p>
      <w:pPr>
        <w:pStyle w:val="Normal"/>
        <w:jc w:val="both"/>
        <w:rPr>
          <w:b/>
        </w:rPr>
      </w:pPr>
      <w:r>
        <w:rPr>
          <w:b/>
        </w:rPr>
      </w:r>
    </w:p>
    <w:p>
      <w:pPr>
        <w:pStyle w:val="BodyTextIndent"/>
        <w:rPr>
          <w:rFonts w:ascii="Times New Roman" w:hAnsi="Times New Roman" w:cs="Times New Roman"/>
        </w:rPr>
      </w:pPr>
      <w:r>
        <w:rPr>
          <w:rFonts w:cs="Times New Roman" w:ascii="Times New Roman" w:hAnsi="Times New Roman"/>
        </w:rPr>
        <w:t>The Non-Defaulting Party will in good faith convert, if necessary, any amount due and payable under any Transaction from the original currency of such Transaction into pounds sterling at the rate of exchange displayed on the relevant Reuters page at 11 a.m. London time on the Early Termination Date referred to in clause 1(a).</w:t>
      </w:r>
    </w:p>
    <w:p>
      <w:pPr>
        <w:pStyle w:val="Normal"/>
        <w:jc w:val="both"/>
        <w:rPr>
          <w:rFonts w:ascii="Times New Roman" w:hAnsi="Times New Roman" w:cs="Times New Roman"/>
        </w:rPr>
      </w:pPr>
      <w:r>
        <w:rPr>
          <w:rFonts w:cs="Times New Roman"/>
        </w:rPr>
      </w:r>
    </w:p>
    <w:p>
      <w:pPr>
        <w:pStyle w:val="Normal"/>
        <w:jc w:val="both"/>
        <w:rPr>
          <w:b/>
        </w:rPr>
      </w:pPr>
      <w:r>
        <w:rPr>
          <w:b/>
        </w:rPr>
        <w:t>3.</w:t>
        <w:tab/>
        <w:t>Interest</w:t>
      </w:r>
    </w:p>
    <w:p>
      <w:pPr>
        <w:pStyle w:val="Normal"/>
        <w:jc w:val="both"/>
        <w:rPr>
          <w:b/>
        </w:rPr>
      </w:pPr>
      <w:r>
        <w:rPr>
          <w:b/>
        </w:rPr>
      </w:r>
    </w:p>
    <w:p>
      <w:pPr>
        <w:pStyle w:val="BodyTextIndent"/>
        <w:rPr>
          <w:rFonts w:ascii="Times New Roman" w:hAnsi="Times New Roman" w:cs="Times New Roman"/>
          <w:b/>
        </w:rPr>
      </w:pPr>
      <w:r>
        <w:rPr>
          <w:rFonts w:cs="Times New Roman" w:ascii="Times New Roman" w:hAnsi="Times New Roman"/>
        </w:rPr>
        <w:t>For the purposes of clause 1 interest shall be calculated at a rate equal to the base lending rate for pounds sterling of National Westminster Bank plc (or any successor bank) applicable from time to time plus three (3) percent per annum compounded annually.</w:t>
      </w:r>
    </w:p>
    <w:p>
      <w:pPr>
        <w:pStyle w:val="Normal"/>
        <w:ind w:hanging="709" w:start="709" w:end="0"/>
        <w:jc w:val="both"/>
        <w:rPr>
          <w:rFonts w:ascii="Times New Roman" w:hAnsi="Times New Roman" w:cs="Times New Roman"/>
          <w:b/>
        </w:rPr>
      </w:pPr>
      <w:r>
        <w:rPr>
          <w:rFonts w:cs="Times New Roman"/>
          <w:b/>
        </w:rPr>
      </w:r>
    </w:p>
    <w:p>
      <w:pPr>
        <w:pStyle w:val="Normal"/>
        <w:jc w:val="both"/>
        <w:rPr>
          <w:b/>
        </w:rPr>
      </w:pPr>
      <w:r>
        <w:rPr>
          <w:b/>
        </w:rPr>
        <w:t>4.</w:t>
        <w:tab/>
        <w:t>General</w:t>
      </w:r>
    </w:p>
    <w:p>
      <w:pPr>
        <w:pStyle w:val="Normal"/>
        <w:jc w:val="both"/>
        <w:rPr>
          <w:b/>
        </w:rPr>
      </w:pPr>
      <w:r>
        <w:rPr>
          <w:b/>
        </w:rPr>
      </w:r>
    </w:p>
    <w:p>
      <w:pPr>
        <w:pStyle w:val="BodyTextIndent2"/>
        <w:numPr>
          <w:ilvl w:val="0"/>
          <w:numId w:val="3"/>
        </w:numPr>
        <w:rPr>
          <w:rFonts w:ascii="Times New Roman" w:hAnsi="Times New Roman" w:cs="Times New Roman"/>
        </w:rPr>
      </w:pPr>
      <w:r>
        <w:rPr>
          <w:rFonts w:cs="Times New Roman" w:ascii="Times New Roman" w:hAnsi="Times New Roman"/>
        </w:rPr>
        <w:t>The parties agree that the provisions of this agreement, including (without limitation, the valuation provisions for Transactions set out in clause 1(c)) shall override any provisions contained in either of the Master Agreements.  The parties further agree that each of the other terms of the Transactions shall remain unchanged.</w:t>
      </w:r>
    </w:p>
    <w:p>
      <w:pPr>
        <w:pStyle w:val="BodyTextIndent2"/>
        <w:ind w:hanging="0" w:start="360" w:end="0"/>
        <w:rPr>
          <w:rFonts w:ascii="Times New Roman" w:hAnsi="Times New Roman" w:cs="Times New Roman"/>
        </w:rPr>
      </w:pPr>
      <w:r>
        <w:rPr>
          <w:rFonts w:cs="Times New Roman" w:ascii="Times New Roman" w:hAnsi="Times New Roman"/>
        </w:rPr>
      </w:r>
    </w:p>
    <w:p>
      <w:pPr>
        <w:pStyle w:val="BodyTextIndent2"/>
        <w:numPr>
          <w:ilvl w:val="0"/>
          <w:numId w:val="3"/>
        </w:numPr>
        <w:rPr>
          <w:rFonts w:ascii="Times New Roman" w:hAnsi="Times New Roman" w:cs="Times New Roman"/>
        </w:rPr>
      </w:pPr>
      <w:r>
        <w:rPr>
          <w:rFonts w:cs="Times New Roman" w:ascii="Times New Roman" w:hAnsi="Times New Roman"/>
        </w:rPr>
        <w:t>Capitalised terms used in this agreement but not defined shall have the meanings given to such terms in the Master Agreements</w:t>
      </w:r>
    </w:p>
    <w:p>
      <w:pPr>
        <w:pStyle w:val="BodyTextIndent2"/>
        <w:ind w:hanging="0" w:start="0" w:end="0"/>
        <w:rPr>
          <w:rFonts w:ascii="Times New Roman" w:hAnsi="Times New Roman" w:cs="Times New Roman"/>
        </w:rPr>
      </w:pPr>
      <w:r>
        <w:rPr>
          <w:rFonts w:cs="Times New Roman" w:ascii="Times New Roman" w:hAnsi="Times New Roman"/>
        </w:rPr>
      </w:r>
    </w:p>
    <w:p>
      <w:pPr>
        <w:pStyle w:val="BodyTextIndent2"/>
        <w:numPr>
          <w:ilvl w:val="0"/>
          <w:numId w:val="3"/>
        </w:numPr>
        <w:rPr>
          <w:rFonts w:ascii="Times New Roman" w:hAnsi="Times New Roman" w:cs="Times New Roman"/>
        </w:rPr>
      </w:pPr>
      <w:r>
        <w:rPr>
          <w:rFonts w:cs="Times New Roman" w:ascii="Times New Roman" w:hAnsi="Times New Roman"/>
        </w:rPr>
        <w:t xml:space="preserve">Any failure or delay in exercising any of right, power or privilege in respect of this agreement will not be presumed to operate as a waiver. </w:t>
      </w:r>
    </w:p>
    <w:p>
      <w:pPr>
        <w:pStyle w:val="BodyTextIndent2"/>
        <w:ind w:hanging="0" w:start="0" w:end="0"/>
        <w:rPr>
          <w:rFonts w:ascii="Times New Roman" w:hAnsi="Times New Roman" w:cs="Times New Roman"/>
        </w:rPr>
      </w:pPr>
      <w:r>
        <w:rPr>
          <w:rFonts w:cs="Times New Roman" w:ascii="Times New Roman" w:hAnsi="Times New Roman"/>
        </w:rPr>
      </w:r>
    </w:p>
    <w:p>
      <w:pPr>
        <w:pStyle w:val="Normal"/>
        <w:jc w:val="both"/>
        <w:rPr>
          <w:b/>
        </w:rPr>
      </w:pPr>
      <w:r>
        <w:rPr>
          <w:b/>
        </w:rPr>
        <w:t>5.</w:t>
        <w:tab/>
        <w:t>Notices</w:t>
      </w:r>
    </w:p>
    <w:p>
      <w:pPr>
        <w:pStyle w:val="Normal"/>
        <w:jc w:val="both"/>
        <w:rPr>
          <w:b/>
        </w:rPr>
      </w:pPr>
      <w:r>
        <w:rPr>
          <w:b/>
        </w:rPr>
      </w:r>
    </w:p>
    <w:p>
      <w:pPr>
        <w:pStyle w:val="BodyTextIndent"/>
        <w:rPr>
          <w:rFonts w:ascii="Times New Roman" w:hAnsi="Times New Roman" w:cs="Times New Roman"/>
        </w:rPr>
      </w:pPr>
      <w:r>
        <w:rPr>
          <w:rFonts w:cs="Times New Roman" w:ascii="Times New Roman" w:hAnsi="Times New Roman"/>
        </w:rPr>
        <w:t>All notices required to be served on a party in accordance with this agreement shall be sent to the address for each party as set out above or such other address as may be notified in writing by the relevant party from time to time.  Notices shall only be delivered by hand or registered post.</w:t>
      </w:r>
    </w:p>
    <w:p>
      <w:pPr>
        <w:pStyle w:val="BodyTextIndent"/>
        <w:rPr>
          <w:rFonts w:ascii="Times New Roman" w:hAnsi="Times New Roman" w:cs="Times New Roman"/>
        </w:rPr>
      </w:pPr>
      <w:r>
        <w:rPr>
          <w:rFonts w:cs="Times New Roman" w:ascii="Times New Roman" w:hAnsi="Times New Roman"/>
        </w:rPr>
      </w:r>
    </w:p>
    <w:p>
      <w:pPr>
        <w:pStyle w:val="Normal"/>
        <w:jc w:val="both"/>
        <w:rPr>
          <w:b/>
        </w:rPr>
      </w:pPr>
      <w:r>
        <w:rPr>
          <w:b/>
        </w:rPr>
        <w:t>6.</w:t>
        <w:tab/>
        <w:t>Counterparts</w:t>
      </w:r>
    </w:p>
    <w:p>
      <w:pPr>
        <w:pStyle w:val="Normal"/>
        <w:jc w:val="both"/>
        <w:rPr>
          <w:b/>
        </w:rPr>
      </w:pPr>
      <w:r>
        <w:rPr>
          <w:b/>
        </w:rPr>
      </w:r>
    </w:p>
    <w:p>
      <w:pPr>
        <w:pStyle w:val="Normal"/>
        <w:ind w:start="709" w:end="0"/>
        <w:jc w:val="both"/>
        <w:rPr/>
      </w:pPr>
      <w:r>
        <w:rPr/>
        <w:t>This agreement may be executed in two counterparts, each of which taken together shall form one and the same agreement and either party may enter into this agreement by executing a counterpart.</w:t>
      </w:r>
    </w:p>
    <w:p>
      <w:pPr>
        <w:pStyle w:val="BodyTextIndent"/>
        <w:rPr>
          <w:rFonts w:eastAsia="Arial"/>
        </w:rPr>
      </w:pPr>
      <w:r>
        <w:rPr>
          <w:rFonts w:eastAsia="Arial"/>
        </w:rPr>
        <w:t xml:space="preserve">  </w:t>
      </w:r>
    </w:p>
    <w:p>
      <w:pPr>
        <w:pStyle w:val="Normal"/>
        <w:jc w:val="both"/>
        <w:rPr>
          <w:b/>
        </w:rPr>
      </w:pPr>
      <w:r>
        <w:rPr>
          <w:b/>
        </w:rPr>
        <w:t>7.</w:t>
        <w:tab/>
        <w:t>Law and Jurisdiction</w:t>
      </w:r>
    </w:p>
    <w:p>
      <w:pPr>
        <w:pStyle w:val="TxBrp0"/>
        <w:tabs>
          <w:tab w:val="clear" w:pos="204"/>
        </w:tabs>
        <w:spacing w:lineRule="auto" w:line="240"/>
        <w:rPr>
          <w:b/>
        </w:rPr>
      </w:pPr>
      <w:r>
        <w:rPr>
          <w:b/>
        </w:rPr>
      </w:r>
    </w:p>
    <w:p>
      <w:pPr>
        <w:pStyle w:val="TxBrp0"/>
        <w:tabs>
          <w:tab w:val="clear" w:pos="204"/>
        </w:tabs>
        <w:spacing w:lineRule="auto" w:line="240"/>
        <w:ind w:hanging="709" w:start="709" w:end="0"/>
        <w:rPr/>
      </w:pPr>
      <w:r>
        <w:rPr/>
        <w:t>(a)</w:t>
        <w:tab/>
        <w:t>This agreement shall be governed by and construed in accordance with English law.</w:t>
      </w:r>
    </w:p>
    <w:p>
      <w:pPr>
        <w:pStyle w:val="Normal"/>
        <w:jc w:val="both"/>
        <w:rPr/>
      </w:pPr>
      <w:r>
        <w:rPr/>
      </w:r>
    </w:p>
    <w:p>
      <w:pPr>
        <w:pStyle w:val="BodyTextIndent3"/>
        <w:rPr/>
      </w:pPr>
      <w:r>
        <w:rPr/>
        <w:t>(b)</w:t>
        <w:tab/>
        <w:t>Each of the parties hereby submits to the exclusive jurisdiction of the English courts for all purposes in connection with this agreement.</w:t>
      </w:r>
    </w:p>
    <w:p>
      <w:pPr>
        <w:pStyle w:val="BodyTextIndent3"/>
        <w:rPr/>
      </w:pPr>
      <w:r>
        <w:rPr/>
      </w:r>
    </w:p>
    <w:p>
      <w:pPr>
        <w:pStyle w:val="Normal"/>
        <w:jc w:val="both"/>
        <w:rPr/>
      </w:pPr>
      <w:r>
        <w:rPr/>
      </w:r>
    </w:p>
    <w:p>
      <w:pPr>
        <w:pStyle w:val="Normal"/>
        <w:jc w:val="both"/>
        <w:rPr/>
      </w:pPr>
      <w:r>
        <w:rPr>
          <w:b/>
        </w:rPr>
        <w:t>IN WITNESS WHEREOF</w:t>
      </w:r>
      <w:r>
        <w:rPr/>
        <w:t xml:space="preserve"> the parties have executed this agreement as of the date first above written.</w: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Heading1"/>
        <w:ind w:hanging="0" w:start="0"/>
        <w:rPr/>
      </w:pPr>
      <w:r>
        <w:rPr/>
        <w:t>British Energy Power and Energy Trading Limited</w:t>
      </w:r>
    </w:p>
    <w:p>
      <w:pPr>
        <w:pStyle w:val="Normal"/>
        <w:jc w:val="both"/>
        <w:rPr>
          <w:b/>
        </w:rPr>
      </w:pPr>
      <w:r>
        <w:rPr>
          <w:b/>
        </w:rPr>
      </w:r>
    </w:p>
    <w:p>
      <w:pPr>
        <w:pStyle w:val="Normal"/>
        <w:jc w:val="both"/>
        <w:rPr>
          <w:b/>
        </w:rPr>
      </w:pPr>
      <w:r>
        <w:rPr>
          <w:b/>
        </w:rPr>
      </w:r>
    </w:p>
    <w:p>
      <w:pPr>
        <w:pStyle w:val="Normal"/>
        <w:jc w:val="both"/>
        <w:rPr/>
      </w:pPr>
      <w:r>
        <w:rPr/>
        <w:t>Signed ………………………………………</w: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Heading1"/>
        <w:ind w:hanging="0" w:start="0"/>
        <w:rPr/>
      </w:pPr>
      <w:r>
        <w:rPr/>
        <w:t>Enron Capital Trade &amp; Resources Limited</w:t>
      </w:r>
    </w:p>
    <w:p>
      <w:pPr>
        <w:pStyle w:val="TxBrp0"/>
        <w:tabs>
          <w:tab w:val="clear" w:pos="204"/>
        </w:tabs>
        <w:spacing w:lineRule="auto" w:line="240"/>
        <w:rPr/>
      </w:pPr>
      <w:r>
        <w:rPr/>
      </w:r>
    </w:p>
    <w:p>
      <w:pPr>
        <w:pStyle w:val="Normal"/>
        <w:jc w:val="both"/>
        <w:rPr/>
      </w:pPr>
      <w:r>
        <w:rPr/>
      </w:r>
    </w:p>
    <w:p>
      <w:pPr>
        <w:pStyle w:val="Normal"/>
        <w:jc w:val="both"/>
        <w:rPr/>
      </w:pPr>
      <w:r>
        <w:rPr/>
        <w:t>Signed ………………………………………….</w:t>
      </w:r>
    </w:p>
    <w:p>
      <w:pPr>
        <w:pStyle w:val="Normal"/>
        <w:jc w:val="both"/>
        <w:rPr/>
      </w:pPr>
      <w:r>
        <w:rPr/>
      </w:r>
    </w:p>
    <w:p>
      <w:pPr>
        <w:pStyle w:val="Normal"/>
        <w:jc w:val="both"/>
        <w:rPr>
          <w:sz w:val="16"/>
        </w:rPr>
      </w:pPr>
      <w:r>
        <w:rPr>
          <w:sz w:val="16"/>
        </w:rPr>
        <w:t xml:space="preserve"> </w:t>
      </w:r>
    </w:p>
    <w:sectPr>
      <w:headerReference w:type="default" r:id="rId2"/>
      <w:footerReference w:type="default" r:id="rId3"/>
      <w:type w:val="nextPage"/>
      <w:pgSz w:w="11906" w:h="16838"/>
      <w:pgMar w:left="1797" w:right="1797" w:gutter="0" w:header="709" w:top="1440" w:footer="709"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Style w:val="PageNumber"/>
      </w:rPr>
      <w:fldChar w:fldCharType="begin"/>
    </w:r>
    <w:r>
      <w:rPr>
        <w:rStyle w:val="PageNumber"/>
      </w:rPr>
      <w:instrText xml:space="preserve"> DATE \@"dd\/MM\/yyyy" </w:instrText>
    </w:r>
    <w:r>
      <w:rPr>
        <w:rStyle w:val="PageNumber"/>
      </w:rPr>
      <w:fldChar w:fldCharType="separate"/>
    </w:r>
    <w:r>
      <w:rPr>
        <w:rStyle w:val="PageNumber"/>
      </w:rPr>
      <w:t>28/09/2025</w:t>
    </w:r>
    <w:r>
      <w:rPr>
        <w:rStyle w:val="PageNumber"/>
      </w:rPr>
      <w:fldChar w:fldCharType="end"/>
    </w:r>
    <w:r>
      <w:rPr>
        <w:sz w:val="22"/>
      </w:rPr>
      <w:fldChar w:fldCharType="begin"/>
    </w:r>
    <w:r>
      <w:rPr>
        <w:sz w:val="22"/>
      </w:rPr>
      <w:instrText xml:space="preserve"> FILENAME \p </w:instrText>
    </w:r>
    <w:r>
      <w:rPr>
        <w:sz w:val="22"/>
      </w:rPr>
      <w:fldChar w:fldCharType="separate"/>
    </w:r>
    <w:r>
      <w:rPr>
        <w:sz w:val="22"/>
      </w:rPr>
      <w:t>/mnt/main-storage/datasets/enron-docs/doc/BE_Netting_Agreement.doc</w:t>
    </w:r>
    <w:r>
      <w:rPr>
        <w:sz w:val="22"/>
      </w:rPr>
      <w:fldChar w:fldCharType="end"/>
    </w:r>
    <w:r>
      <mc:AlternateContent>
        <mc:Choice Requires="wps">
          <w:drawing>
            <wp:anchor behindDoc="0" distT="0" distB="0" distL="0" distR="0" simplePos="0" locked="0" layoutInCell="0" allowOverlap="1" relativeHeight="6">
              <wp:simplePos x="0" y="0"/>
              <wp:positionH relativeFrom="margin">
                <wp:align>right</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409.55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Arial" w:hAnsi="Arial" w:cs="Arial"/>
      </w:rPr>
    </w:pPr>
    <w:r>
      <w:rPr>
        <w:rFonts w:cs="Arial" w:ascii="Arial" w:hAnsi="Arial"/>
      </w:rPr>
      <w:t>Draft:  06.11.01</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6"/>
      <w:numFmt w:val="lowerLetter"/>
      <w:lvlText w:val="(%1)"/>
      <w:lvlJc w:val="start"/>
      <w:pPr>
        <w:tabs>
          <w:tab w:val="num" w:pos="720"/>
        </w:tabs>
        <w:ind w:start="720" w:hanging="720"/>
      </w:pPr>
      <w:rPr/>
    </w:lvl>
  </w:abstractNum>
  <w:abstractNum w:abstractNumId="3">
    <w:lvl w:ilvl="0">
      <w:start w:val="1"/>
      <w:numFmt w:val="lowerLetter"/>
      <w:lvlText w:val="(%1)"/>
      <w:lvlJc w:val="start"/>
      <w:pPr>
        <w:tabs>
          <w:tab w:val="num" w:pos="720"/>
        </w:tabs>
        <w:ind w:start="720" w:hanging="360"/>
      </w:pPr>
      <w:rPr/>
    </w:lvl>
  </w:abstractNum>
  <w:abstractNum w:abstractNumId="4">
    <w:lvl w:ilvl="0">
      <w:start w:val="1"/>
      <w:numFmt w:val="lowerRoman"/>
      <w:lvlText w:val="(%1)"/>
      <w:lvlJc w:val="start"/>
      <w:pPr>
        <w:tabs>
          <w:tab w:val="num" w:pos="1425"/>
        </w:tabs>
        <w:ind w:start="1425" w:hanging="720"/>
      </w:pPr>
      <w:rPr/>
    </w:lvl>
  </w:abstractNum>
  <w:abstractNum w:abstractNumId="5">
    <w:lvl w:ilvl="0">
      <w:start w:val="2"/>
      <w:numFmt w:val="lowerLetter"/>
      <w:lvlText w:val="(%1)"/>
      <w:lvlJc w:val="start"/>
      <w:pPr>
        <w:tabs>
          <w:tab w:val="num" w:pos="720"/>
        </w:tabs>
        <w:ind w:start="720" w:hanging="720"/>
      </w:pPr>
      <w:rPr/>
    </w:lvl>
  </w:abstractNum>
  <w:abstractNum w:abstractNumId="6">
    <w:lvl w:ilvl="0">
      <w:start w:val="1"/>
      <w:numFmt w:val="lowerRoman"/>
      <w:lvlText w:val="(%1)"/>
      <w:lvlJc w:val="start"/>
      <w:pPr>
        <w:tabs>
          <w:tab w:val="num" w:pos="1440"/>
        </w:tabs>
        <w:ind w:start="1440" w:hanging="720"/>
      </w:pPr>
      <w:rPr/>
    </w:lvl>
  </w:abstractNum>
  <w:abstractNum w:abstractNumId="7">
    <w:lvl w:ilvl="0">
      <w:start w:val="2"/>
      <w:numFmt w:val="lowerRoman"/>
      <w:lvlText w:val="(%1)"/>
      <w:lvlJc w:val="start"/>
      <w:pPr>
        <w:tabs>
          <w:tab w:val="num" w:pos="1080"/>
        </w:tabs>
        <w:ind w:start="1080" w:hanging="720"/>
      </w:pPr>
      <w:rPr/>
    </w:lvl>
  </w:abstractNum>
  <w:abstractNum w:abstractNumId="8">
    <w:lvl w:ilvl="0">
      <w:start w:val="1"/>
      <w:numFmt w:val="decimal"/>
      <w:lvlText w:val="%1."/>
      <w:lvlJc w:val="start"/>
      <w:pPr>
        <w:tabs>
          <w:tab w:val="num" w:pos="360"/>
        </w:tabs>
        <w:ind w:start="360" w:hanging="360"/>
      </w:pPr>
      <w:rPr>
        <w:smallCaps w:val="false"/>
        <w:caps w:val="false"/>
        <w:outline w:val="false"/>
        <w:dstrike w:val="false"/>
        <w:strike w:val="false"/>
        <w:vertAlign w:val="baseline"/>
        <w:position w:val="0"/>
        <w:sz w:val="24"/>
        <w:shadow w:val="false"/>
        <w:vanish w:val="false"/>
        <w:color w:val="auto"/>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GB" w:bidi="ar-SA" w:eastAsia="zh-CN"/>
    </w:rPr>
  </w:style>
  <w:style w:type="paragraph" w:styleId="Heading1">
    <w:name w:val="heading 1"/>
    <w:basedOn w:val="Normal"/>
    <w:next w:val="Normal"/>
    <w:qFormat/>
    <w:pPr>
      <w:keepNext w:val="true"/>
      <w:numPr>
        <w:ilvl w:val="0"/>
        <w:numId w:val="1"/>
      </w:numPr>
      <w:jc w:val="both"/>
      <w:outlineLvl w:val="0"/>
    </w:pPr>
    <w:rPr>
      <w:b/>
      <w:bCs/>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rFonts w:ascii="Wingdings" w:hAnsi="Wingdings" w:cs="Wingdings"/>
    </w:rPr>
  </w:style>
  <w:style w:type="character" w:styleId="WW8Num7z0">
    <w:name w:val="WW8Num7z0"/>
    <w:qFormat/>
    <w:rPr>
      <w:b/>
      <w:u w:val="single"/>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9z0">
    <w:name w:val="WW8Num19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caps w:val="false"/>
      <w:smallCaps w:val="false"/>
      <w:strike w:val="false"/>
      <w:dstrike w:val="false"/>
      <w:outline w:val="false"/>
      <w:shadow w:val="false"/>
      <w:vanish w:val="false"/>
      <w:color w:val="auto"/>
      <w:position w:val="0"/>
      <w:sz w:val="24"/>
      <w:vertAlign w:val="baseline"/>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xBrp0">
    <w:name w:val="TxBr_p0"/>
    <w:basedOn w:val="Normal"/>
    <w:qFormat/>
    <w:pPr>
      <w:tabs>
        <w:tab w:val="clear" w:pos="720"/>
        <w:tab w:val="left" w:pos="204" w:leader="none"/>
      </w:tabs>
      <w:spacing w:lineRule="atLeast" w:line="240"/>
      <w:jc w:val="both"/>
    </w:pPr>
    <w:rPr/>
  </w:style>
  <w:style w:type="paragraph" w:styleId="TxBrp1">
    <w:name w:val="TxBr_p1"/>
    <w:basedOn w:val="Normal"/>
    <w:qFormat/>
    <w:pPr>
      <w:tabs>
        <w:tab w:val="clear" w:pos="720"/>
        <w:tab w:val="left" w:pos="204" w:leader="none"/>
      </w:tabs>
      <w:spacing w:lineRule="atLeast" w:line="283"/>
    </w:pPr>
    <w:rPr/>
  </w:style>
  <w:style w:type="paragraph" w:styleId="TxBrp2">
    <w:name w:val="TxBr_p2"/>
    <w:basedOn w:val="Normal"/>
    <w:qFormat/>
    <w:pPr>
      <w:tabs>
        <w:tab w:val="clear" w:pos="720"/>
        <w:tab w:val="left" w:pos="357" w:leader="none"/>
      </w:tabs>
      <w:spacing w:lineRule="atLeast" w:line="277"/>
    </w:pPr>
    <w:rPr/>
  </w:style>
  <w:style w:type="paragraph" w:styleId="TxBrp3">
    <w:name w:val="TxBr_p3"/>
    <w:basedOn w:val="Normal"/>
    <w:qFormat/>
    <w:pPr>
      <w:tabs>
        <w:tab w:val="clear" w:pos="720"/>
        <w:tab w:val="left" w:pos="204" w:leader="none"/>
      </w:tabs>
      <w:spacing w:lineRule="atLeast" w:line="277"/>
    </w:pPr>
    <w:rPr/>
  </w:style>
  <w:style w:type="paragraph" w:styleId="TxBrp4">
    <w:name w:val="TxBr_p4"/>
    <w:basedOn w:val="Normal"/>
    <w:qFormat/>
    <w:pPr>
      <w:tabs>
        <w:tab w:val="clear" w:pos="720"/>
        <w:tab w:val="left" w:pos="340" w:leader="none"/>
      </w:tabs>
      <w:spacing w:lineRule="atLeast" w:line="283"/>
    </w:pPr>
    <w:rPr/>
  </w:style>
  <w:style w:type="paragraph" w:styleId="TxBrp5">
    <w:name w:val="TxBr_p5"/>
    <w:basedOn w:val="Normal"/>
    <w:qFormat/>
    <w:pPr>
      <w:tabs>
        <w:tab w:val="clear" w:pos="720"/>
        <w:tab w:val="left" w:pos="204" w:leader="none"/>
      </w:tabs>
      <w:spacing w:lineRule="atLeast" w:line="240"/>
    </w:pPr>
    <w:rPr/>
  </w:style>
  <w:style w:type="paragraph" w:styleId="TxBrp6">
    <w:name w:val="TxBr_p6"/>
    <w:basedOn w:val="Normal"/>
    <w:qFormat/>
    <w:pPr>
      <w:tabs>
        <w:tab w:val="left" w:pos="720" w:leader="none"/>
        <w:tab w:val="left" w:pos="1031" w:leader="none"/>
      </w:tabs>
      <w:spacing w:lineRule="atLeast" w:line="283"/>
      <w:ind w:hanging="0" w:start="119" w:end="0"/>
    </w:pPr>
    <w:rPr/>
  </w:style>
  <w:style w:type="paragraph" w:styleId="TxBrt7">
    <w:name w:val="TxBr_t7"/>
    <w:basedOn w:val="Normal"/>
    <w:qFormat/>
    <w:pPr>
      <w:spacing w:lineRule="atLeast" w:line="283"/>
    </w:pPr>
    <w:rPr/>
  </w:style>
  <w:style w:type="paragraph" w:styleId="TxBrp8">
    <w:name w:val="TxBr_p8"/>
    <w:basedOn w:val="Normal"/>
    <w:qFormat/>
    <w:pPr>
      <w:tabs>
        <w:tab w:val="clear" w:pos="720"/>
        <w:tab w:val="left" w:pos="1371" w:leader="none"/>
      </w:tabs>
      <w:spacing w:lineRule="atLeast" w:line="240"/>
      <w:ind w:hanging="0" w:start="533" w:end="0"/>
    </w:pPr>
    <w:rPr/>
  </w:style>
  <w:style w:type="paragraph" w:styleId="TxBrp9">
    <w:name w:val="TxBr_p9"/>
    <w:basedOn w:val="Normal"/>
    <w:qFormat/>
    <w:pPr>
      <w:tabs>
        <w:tab w:val="clear" w:pos="720"/>
        <w:tab w:val="left" w:pos="1337" w:leader="none"/>
        <w:tab w:val="left" w:pos="1649" w:leader="none"/>
      </w:tabs>
      <w:spacing w:lineRule="atLeast" w:line="240"/>
      <w:ind w:hanging="311" w:start="1649" w:end="0"/>
    </w:pPr>
    <w:rPr/>
  </w:style>
  <w:style w:type="paragraph" w:styleId="TxBrp10">
    <w:name w:val="TxBr_p10"/>
    <w:basedOn w:val="Normal"/>
    <w:qFormat/>
    <w:pPr>
      <w:tabs>
        <w:tab w:val="clear" w:pos="720"/>
        <w:tab w:val="left" w:pos="1337" w:leader="none"/>
      </w:tabs>
      <w:spacing w:lineRule="atLeast" w:line="283"/>
      <w:ind w:hanging="0" w:start="499" w:end="0"/>
    </w:pPr>
    <w:rPr/>
  </w:style>
  <w:style w:type="paragraph" w:styleId="TxBrp11">
    <w:name w:val="TxBr_p11"/>
    <w:basedOn w:val="Normal"/>
    <w:qFormat/>
    <w:pPr>
      <w:tabs>
        <w:tab w:val="clear" w:pos="720"/>
        <w:tab w:val="left" w:pos="1972" w:leader="none"/>
      </w:tabs>
      <w:spacing w:lineRule="atLeast" w:line="240"/>
      <w:ind w:hanging="0" w:start="1133" w:end="0"/>
    </w:pPr>
    <w:rPr/>
  </w:style>
  <w:style w:type="paragraph" w:styleId="TxBrp12">
    <w:name w:val="TxBr_p12"/>
    <w:basedOn w:val="Normal"/>
    <w:qFormat/>
    <w:pPr>
      <w:tabs>
        <w:tab w:val="clear" w:pos="720"/>
        <w:tab w:val="left" w:pos="6343" w:leader="none"/>
      </w:tabs>
      <w:spacing w:lineRule="atLeast" w:line="277"/>
      <w:ind w:hanging="0" w:start="5504" w:end="0"/>
    </w:pPr>
    <w:rPr/>
  </w:style>
  <w:style w:type="paragraph" w:styleId="TxBrc13">
    <w:name w:val="TxBr_c13"/>
    <w:basedOn w:val="Normal"/>
    <w:qFormat/>
    <w:pPr>
      <w:spacing w:lineRule="atLeast" w:line="240"/>
      <w:jc w:val="center"/>
    </w:pPr>
    <w:rPr/>
  </w:style>
  <w:style w:type="paragraph" w:styleId="TxBrc14">
    <w:name w:val="TxBr_c14"/>
    <w:basedOn w:val="Normal"/>
    <w:qFormat/>
    <w:pPr>
      <w:spacing w:lineRule="atLeast" w:line="240"/>
      <w:jc w:val="center"/>
    </w:pPr>
    <w:rPr/>
  </w:style>
  <w:style w:type="paragraph" w:styleId="TxBrp15">
    <w:name w:val="TxBr_p15"/>
    <w:basedOn w:val="Normal"/>
    <w:qFormat/>
    <w:pPr>
      <w:tabs>
        <w:tab w:val="left" w:pos="720" w:leader="none"/>
      </w:tabs>
      <w:spacing w:lineRule="atLeast" w:line="240"/>
      <w:ind w:hanging="0" w:start="119" w:end="0"/>
    </w:pPr>
    <w:rPr/>
  </w:style>
  <w:style w:type="paragraph" w:styleId="TxBrp16">
    <w:name w:val="TxBr_p16"/>
    <w:basedOn w:val="Normal"/>
    <w:qFormat/>
    <w:pPr>
      <w:tabs>
        <w:tab w:val="clear" w:pos="720"/>
        <w:tab w:val="left" w:pos="10335" w:leader="none"/>
      </w:tabs>
      <w:spacing w:lineRule="atLeast" w:line="240"/>
      <w:ind w:hanging="0" w:start="9496" w:end="0"/>
    </w:pPr>
    <w:rPr/>
  </w:style>
  <w:style w:type="paragraph" w:styleId="TxBrt17">
    <w:name w:val="TxBr_t17"/>
    <w:basedOn w:val="Normal"/>
    <w:qFormat/>
    <w:pPr>
      <w:spacing w:lineRule="atLeast" w:line="240"/>
    </w:pPr>
    <w:rPr/>
  </w:style>
  <w:style w:type="paragraph" w:styleId="TxBrt18">
    <w:name w:val="TxBr_t18"/>
    <w:basedOn w:val="Normal"/>
    <w:qFormat/>
    <w:pPr>
      <w:spacing w:lineRule="atLeast" w:line="240"/>
    </w:pPr>
    <w:rPr/>
  </w:style>
  <w:style w:type="paragraph" w:styleId="TxBrp20">
    <w:name w:val="TxBr_p20"/>
    <w:basedOn w:val="Normal"/>
    <w:qFormat/>
    <w:pPr>
      <w:tabs>
        <w:tab w:val="clear" w:pos="720"/>
        <w:tab w:val="left" w:pos="1434" w:leader="none"/>
      </w:tabs>
      <w:spacing w:lineRule="atLeast" w:line="240"/>
      <w:ind w:hanging="1434" w:start="595" w:end="0"/>
    </w:pPr>
    <w:rPr/>
  </w:style>
  <w:style w:type="paragraph" w:styleId="TxBrp21">
    <w:name w:val="TxBr_p21"/>
    <w:basedOn w:val="Normal"/>
    <w:qFormat/>
    <w:pPr>
      <w:tabs>
        <w:tab w:val="clear" w:pos="720"/>
        <w:tab w:val="left" w:pos="4059" w:leader="none"/>
      </w:tabs>
      <w:spacing w:lineRule="atLeast" w:line="240"/>
      <w:ind w:hanging="0" w:start="32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BodyTextIndent">
    <w:name w:val="Body Text Indent"/>
    <w:basedOn w:val="Normal"/>
    <w:pPr>
      <w:ind w:hanging="0" w:start="709" w:end="0"/>
      <w:jc w:val="both"/>
    </w:pPr>
    <w:rPr>
      <w:rFonts w:ascii="Arial" w:hAnsi="Arial" w:cs="Arial"/>
    </w:rPr>
  </w:style>
  <w:style w:type="paragraph" w:styleId="BodyTextIndent2">
    <w:name w:val="Body Text Indent 2"/>
    <w:basedOn w:val="Normal"/>
    <w:qFormat/>
    <w:pPr>
      <w:ind w:hanging="709" w:start="709" w:end="0"/>
      <w:jc w:val="both"/>
    </w:pPr>
    <w:rPr>
      <w:rFonts w:ascii="Arial" w:hAnsi="Arial" w:cs="Arial"/>
    </w:rPr>
  </w:style>
  <w:style w:type="paragraph" w:styleId="BodyTextIndent3">
    <w:name w:val="Body Text Indent 3"/>
    <w:basedOn w:val="Normal"/>
    <w:qFormat/>
    <w:pPr>
      <w:ind w:hanging="720" w:start="720" w:end="0"/>
      <w:jc w:val="both"/>
    </w:pPr>
    <w:rPr/>
  </w:style>
  <w:style w:type="paragraph" w:styleId="TOC7">
    <w:name w:val="toc 7"/>
    <w:basedOn w:val="Normal"/>
    <w:next w:val="Normal"/>
    <w:pPr>
      <w:widowControl/>
      <w:ind w:hanging="0" w:start="1440" w:end="0"/>
    </w:pPr>
    <w:rPr>
      <w:lang w:val="en-US"/>
    </w:rPr>
  </w:style>
  <w:style w:type="paragraph" w:styleId="DocumentMap">
    <w:name w:val="Document Map"/>
    <w:basedOn w:val="Normal"/>
    <w:qFormat/>
    <w:pPr>
      <w:shd w:fill="000080" w:val="clear"/>
    </w:pPr>
    <w:rPr>
      <w:rFonts w:ascii="Tahoma" w:hAnsi="Tahoma" w:cs="Tahoma"/>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123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2001-11-06T18:19:00Z</dcterms:created>
  <dc:creator>GLENDA YOUDE</dc:creator>
  <dc:description/>
  <dc:language>en-CA</dc:language>
  <cp:lastModifiedBy>psimons</cp:lastModifiedBy>
  <cp:lastPrinted>2001-10-26T13:35:00Z</cp:lastPrinted>
  <dcterms:modified xsi:type="dcterms:W3CDTF">2001-11-06T20:22:00Z</dcterms:modified>
  <cp:revision>14</cp:revision>
  <dc:subject/>
  <dc:title>(1)</dc:title>
</cp:coreProperties>
</file>