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hyperlink r:id="rId2">
        <w:r>
          <w:rPr>
            <w:rStyle w:val="Hyperlink"/>
            <w:rFonts w:cs="Arial" w:ascii="Arial" w:hAnsi="Arial"/>
            <w:u w:val="none"/>
          </w:rPr>
          <w:t>Chpreble@aglresources.com</w:t>
        </w:r>
      </w:hyperlink>
    </w:p>
    <w:p>
      <w:pPr>
        <w:pStyle w:val="Normal"/>
        <w:rPr>
          <w:rFonts w:ascii="Arial" w:hAnsi="Arial" w:cs="Arial"/>
        </w:rPr>
      </w:pPr>
      <w:hyperlink r:id="rId3">
        <w:r>
          <w:rPr>
            <w:rStyle w:val="Hyperlink"/>
            <w:rFonts w:cs="Arial" w:ascii="Arial" w:hAnsi="Arial"/>
            <w:u w:val="none"/>
          </w:rPr>
          <w:t>Mcaudill@aglresources.com</w:t>
        </w:r>
      </w:hyperlink>
    </w:p>
    <w:p>
      <w:pPr>
        <w:pStyle w:val="Normal"/>
        <w:rPr>
          <w:rFonts w:ascii="Arial" w:hAnsi="Arial" w:cs="Arial"/>
        </w:rPr>
      </w:pPr>
      <w:hyperlink r:id="rId4">
        <w:r>
          <w:rPr>
            <w:rStyle w:val="Hyperlink"/>
            <w:rFonts w:cs="Arial" w:ascii="Arial" w:hAnsi="Arial"/>
            <w:u w:val="none"/>
          </w:rPr>
          <w:t>jscabare@aglresources.com</w:t>
        </w:r>
      </w:hyperlink>
    </w:p>
    <w:p>
      <w:pPr>
        <w:pStyle w:val="Normal"/>
        <w:rPr>
          <w:rFonts w:ascii="Arial" w:hAnsi="Arial" w:cs="Arial"/>
        </w:rPr>
      </w:pPr>
      <w:hyperlink r:id="rId5">
        <w:r>
          <w:rPr>
            <w:rStyle w:val="Hyperlink"/>
            <w:rFonts w:cs="Arial" w:ascii="Arial" w:hAnsi="Arial"/>
            <w:u w:val="none"/>
          </w:rPr>
          <w:t>prosput@aglresources.com</w:t>
        </w:r>
      </w:hyperlink>
    </w:p>
    <w:p>
      <w:pPr>
        <w:pStyle w:val="Normal"/>
        <w:rPr>
          <w:rFonts w:ascii="Arial" w:hAnsi="Arial" w:cs="Arial"/>
        </w:rPr>
      </w:pPr>
      <w:hyperlink r:id="rId6">
        <w:r>
          <w:rPr>
            <w:rStyle w:val="Hyperlink"/>
            <w:rFonts w:cs="Arial" w:ascii="Arial" w:hAnsi="Arial"/>
            <w:u w:val="none"/>
          </w:rPr>
          <w:t>jeff_l._huston@dom.com</w:t>
        </w:r>
      </w:hyperlink>
    </w:p>
    <w:p>
      <w:pPr>
        <w:pStyle w:val="Normal"/>
        <w:rPr>
          <w:rFonts w:ascii="Arial" w:hAnsi="Arial" w:cs="Arial"/>
        </w:rPr>
      </w:pPr>
      <w:hyperlink r:id="rId7">
        <w:r>
          <w:rPr>
            <w:rStyle w:val="Hyperlink"/>
            <w:rFonts w:cs="Arial" w:ascii="Arial" w:hAnsi="Arial"/>
            <w:u w:val="none"/>
          </w:rPr>
          <w:t>hlinginf@aglresources.com</w:t>
        </w:r>
      </w:hyperlink>
    </w:p>
    <w:p>
      <w:pPr>
        <w:pStyle w:val="Normal"/>
        <w:rPr>
          <w:rFonts w:ascii="Arial" w:hAnsi="Arial" w:cs="Arial"/>
        </w:rPr>
      </w:pPr>
      <w:hyperlink r:id="rId8">
        <w:r>
          <w:rPr>
            <w:rStyle w:val="Hyperlink"/>
            <w:rFonts w:cs="Arial" w:ascii="Arial" w:hAnsi="Arial"/>
            <w:u w:val="none"/>
          </w:rPr>
          <w:t>ddotson@aglresources.com</w:t>
        </w:r>
      </w:hyperlink>
    </w:p>
    <w:p>
      <w:pPr>
        <w:pStyle w:val="Normal"/>
        <w:rPr>
          <w:rFonts w:ascii="Arial" w:hAnsi="Arial" w:cs="Arial"/>
        </w:rPr>
      </w:pPr>
      <w:hyperlink r:id="rId9">
        <w:r>
          <w:rPr>
            <w:rStyle w:val="Hyperlink"/>
            <w:rFonts w:cs="Arial" w:ascii="Arial" w:hAnsi="Arial"/>
            <w:u w:val="none"/>
          </w:rPr>
          <w:t>rwhite@ssd.com</w:t>
        </w:r>
      </w:hyperlink>
    </w:p>
    <w:p>
      <w:pPr>
        <w:pStyle w:val="Normal"/>
        <w:rPr>
          <w:rFonts w:ascii="Arial" w:hAnsi="Arial" w:cs="Arial"/>
        </w:rPr>
      </w:pPr>
      <w:hyperlink r:id="rId10">
        <w:r>
          <w:rPr>
            <w:rStyle w:val="Hyperlink"/>
            <w:rFonts w:cs="Arial" w:ascii="Arial" w:hAnsi="Arial"/>
            <w:u w:val="none"/>
          </w:rPr>
          <w:t>Donald_A._fickenscher@dom.com</w:t>
        </w:r>
      </w:hyperlink>
    </w:p>
    <w:p>
      <w:pPr>
        <w:pStyle w:val="Normal"/>
        <w:rPr>
          <w:rFonts w:ascii="Arial" w:hAnsi="Arial" w:cs="Arial"/>
        </w:rPr>
      </w:pPr>
      <w:r>
        <w:rPr>
          <w:rFonts w:cs="Arial" w:ascii="Arial" w:hAnsi="Arial"/>
        </w:rPr>
      </w:r>
    </w:p>
    <w:p>
      <w:pPr>
        <w:pStyle w:val="Heading1"/>
        <w:ind w:hanging="0" w:start="0"/>
        <w:rPr>
          <w:rFonts w:ascii="Arial" w:hAnsi="Arial" w:cs="Arial"/>
          <w:sz w:val="20"/>
        </w:rPr>
      </w:pPr>
      <w:r>
        <w:rPr>
          <w:rFonts w:cs="Arial" w:ascii="Arial" w:hAnsi="Arial"/>
          <w:sz w:val="20"/>
        </w:rPr>
        <w:t>VSCC Regulatory Strategy – Gas Cost Prudency – Asset Management Opportunity</w:t>
      </w:r>
    </w:p>
    <w:p>
      <w:pPr>
        <w:pStyle w:val="Normal"/>
        <w:rPr>
          <w:rFonts w:ascii="Arial" w:hAnsi="Arial" w:cs="Arial"/>
          <w:sz w:val="20"/>
        </w:rPr>
      </w:pPr>
      <w:r>
        <w:rPr>
          <w:rFonts w:cs="Arial" w:ascii="Arial" w:hAnsi="Arial"/>
          <w:sz w:val="20"/>
        </w:rPr>
      </w:r>
    </w:p>
    <w:p>
      <w:pPr>
        <w:pStyle w:val="BodyText"/>
        <w:jc w:val="both"/>
        <w:rPr/>
      </w:pPr>
      <w:r>
        <w:rPr>
          <w:rFonts w:cs="Arial" w:ascii="Arial" w:hAnsi="Arial"/>
          <w:sz w:val="20"/>
        </w:rPr>
        <w:t xml:space="preserve">Clayton – Good morning.  First, thanks for all you help last week in keeping this opportunity alive and getting the necessary documents executed.  Secondly, as you know, we had an important discussion last Friday regarding the VSCC’s potential view of the </w:t>
      </w:r>
      <w:r>
        <w:rPr>
          <w:rFonts w:cs="Arial" w:ascii="Arial" w:hAnsi="Arial"/>
          <w:sz w:val="20"/>
          <w:u w:val="single"/>
        </w:rPr>
        <w:t>prudency</w:t>
      </w:r>
      <w:r>
        <w:rPr>
          <w:rFonts w:cs="Arial" w:ascii="Arial" w:hAnsi="Arial"/>
          <w:sz w:val="20"/>
        </w:rPr>
        <w:t xml:space="preserve"> of the “tiered” gas pricing methodology for this gas purchase and asset management arrangement between Enron and AGLES.  Here are a few relevant points of clarification that should help us gain a successful regulatory (and commercial) outcome at the VSCC.</w:t>
      </w:r>
    </w:p>
    <w:p>
      <w:pPr>
        <w:pStyle w:val="BodyText"/>
        <w:jc w:val="both"/>
        <w:rPr>
          <w:rFonts w:ascii="Arial" w:hAnsi="Arial" w:cs="Arial"/>
          <w:sz w:val="20"/>
        </w:rPr>
      </w:pPr>
      <w:r>
        <w:rPr>
          <w:rFonts w:cs="Arial" w:ascii="Arial" w:hAnsi="Arial"/>
          <w:sz w:val="20"/>
        </w:rPr>
      </w:r>
    </w:p>
    <w:p>
      <w:pPr>
        <w:pStyle w:val="BodyText"/>
        <w:numPr>
          <w:ilvl w:val="0"/>
          <w:numId w:val="2"/>
        </w:numPr>
        <w:tabs>
          <w:tab w:val="clear" w:pos="720"/>
          <w:tab w:val="left" w:pos="420" w:leader="none"/>
        </w:tabs>
        <w:ind w:hanging="360" w:start="420" w:end="0"/>
        <w:jc w:val="both"/>
        <w:rPr>
          <w:rFonts w:ascii="Arial" w:hAnsi="Arial" w:cs="Arial"/>
          <w:sz w:val="20"/>
        </w:rPr>
      </w:pPr>
      <w:r>
        <w:rPr>
          <w:rFonts w:cs="Arial" w:ascii="Arial" w:hAnsi="Arial"/>
          <w:b/>
          <w:sz w:val="20"/>
        </w:rPr>
        <w:t xml:space="preserve">A least cost gas purchasing strategy is subject to interpretation so we need to guide the VSCC into the appropriate one in this instance. </w:t>
      </w:r>
      <w:r>
        <w:rPr>
          <w:rFonts w:cs="Arial" w:ascii="Arial" w:hAnsi="Arial"/>
          <w:sz w:val="20"/>
        </w:rPr>
        <w:t>VNG’s gas purchasing strategy must be comprehensive and adequately address such things as affordable gas costs, supply security and reliability</w:t>
      </w:r>
      <w:r>
        <w:rPr>
          <w:rFonts w:cs="Arial" w:ascii="Arial" w:hAnsi="Arial"/>
          <w:b/>
          <w:sz w:val="20"/>
        </w:rPr>
        <w:t xml:space="preserve">, </w:t>
      </w:r>
      <w:r>
        <w:rPr>
          <w:rFonts w:cs="Arial" w:ascii="Arial" w:hAnsi="Arial"/>
          <w:sz w:val="20"/>
        </w:rPr>
        <w:t>and other tangibles (such as asset optimization and ratepayer value creation). It is much greater than just purchasing the lowest priced gas that might be available to VNG at any point in time.  Further, it is not readily apparent that Dominion operated under a “comprehensive” least cost gas purchasing strategy when it managed VNG’s gas supply needs.</w:t>
      </w:r>
    </w:p>
    <w:p>
      <w:pPr>
        <w:pStyle w:val="Normal"/>
        <w:jc w:val="both"/>
        <w:rPr>
          <w:rFonts w:ascii="Arial" w:hAnsi="Arial" w:cs="Arial"/>
          <w:sz w:val="20"/>
        </w:rPr>
      </w:pPr>
      <w:r>
        <w:rPr>
          <w:rFonts w:cs="Arial" w:ascii="Arial" w:hAnsi="Arial"/>
          <w:sz w:val="20"/>
        </w:rPr>
      </w:r>
    </w:p>
    <w:p>
      <w:pPr>
        <w:pStyle w:val="Normal"/>
        <w:numPr>
          <w:ilvl w:val="0"/>
          <w:numId w:val="3"/>
        </w:numPr>
        <w:jc w:val="both"/>
        <w:rPr>
          <w:rFonts w:ascii="Arial" w:hAnsi="Arial" w:cs="Arial"/>
        </w:rPr>
      </w:pPr>
      <w:r>
        <w:rPr>
          <w:rFonts w:cs="Arial" w:ascii="Arial" w:hAnsi="Arial"/>
          <w:b/>
        </w:rPr>
        <w:t>A “prudent” least cost purchasing strategy can involve asset optimization used in conjunction with a sound, economic gas purchasing method.</w:t>
      </w:r>
      <w:r>
        <w:rPr>
          <w:rFonts w:cs="Arial" w:ascii="Arial" w:hAnsi="Arial"/>
        </w:rPr>
        <w:t xml:space="preserve">  This method is a reasonable and prudent way to meet VNG ratepayer gas supply and pricing needs.</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b/>
        </w:rPr>
        <w:t>Purchasing gas at the lowest cost (or least cost) is not compatible with an asset management/optimization arrangement.</w:t>
      </w:r>
      <w:r>
        <w:rPr>
          <w:rFonts w:cs="Arial" w:ascii="Arial" w:hAnsi="Arial"/>
        </w:rPr>
        <w:t xml:space="preserve">  Purchasing gas at the lowest cost would involve scheduling the lowest delivered gas cost on a daily basis.  In that case, either all FT capacity has to be reserved to always seek the lowest delivered gas supply cost or the most valuable interstate assets are never (or seldom) available to capture value through asset optimization. Thus, asset optimization is virtually impossible (irrespective of the asset manager) under this gas purchasing approach. </w:t>
      </w:r>
    </w:p>
    <w:p>
      <w:pPr>
        <w:pStyle w:val="Norma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b/>
        </w:rPr>
        <w:t>The key to the “tiered” or "proxy" gas pricing methodology is that it effectively de-couples the gas supply assets from VNG's load.</w:t>
      </w:r>
      <w:r>
        <w:rPr>
          <w:rFonts w:cs="Arial" w:ascii="Arial" w:hAnsi="Arial"/>
        </w:rPr>
        <w:t xml:space="preserve">   If the gas pricing strategy is strictly “least cost”, we are largely left to try to find value in the day ahead market only, where there is no way to really guarantee anything.  With the current structure, the assets may, but do not have to, be used to supply VNG's load every day.  Hence, if there is a cheaper way to get gas to VNG other than the embedded costs, Enron may find other things to do with the VNG assets.  Or, in the alternate, if there are higher value alternatives for some or all of the VNG assets, the opposite condition could apply. Since the VNG citygate is not liquid, the likelihood of identifying such options is fewer and farther between than it would be at more liquid points. Nevertheless, the key to value creation in the asset management deal is that Enron has options.</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 xml:space="preserve">The proposed “tiered” gas pricing methodology was developed to “mirror” past VNG gas purchasing practices (under Dominion management).  </w:t>
      </w:r>
      <w:r>
        <w:rPr>
          <w:rFonts w:cs="Arial" w:ascii="Arial" w:hAnsi="Arial"/>
        </w:rPr>
        <w:t>However, it is not the only gas pricing method available to Enron or AGLES.  For example, term gas could be secured (and hedged) as part of the VNG gas supply portfolio.</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We need to view Enron as a business partner in the regulatory approval process.</w:t>
      </w:r>
      <w:r>
        <w:rPr>
          <w:rFonts w:cs="Arial" w:ascii="Arial" w:hAnsi="Arial"/>
        </w:rPr>
        <w:t xml:space="preserve">  Enron is more than willing to work with us to find the right gas purchasing method that can be deemed reasonable and prudent by the VSCC. But such methodology must also permit Enron to optimize assets so value can be created (and realized) for VNG’s ratepayers, AGLES, and Enron.</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rPr>
        <w:t>Finally, at the end of the day, we need to do the right thing here for both the VNG ratepayer and AGLR’s shareholders</w:t>
      </w:r>
      <w:r>
        <w:rPr>
          <w:rFonts w:cs="Arial" w:ascii="Arial" w:hAnsi="Arial"/>
        </w:rPr>
        <w:t xml:space="preserve">.  We can achieve that outcome. But we must proactively “sell” our approach (gas pricing and asset management) by guiding the VSCC to the right answer.  That answer can be characterized as a comprehensive least cost gas purchasing strategy when all relevant factors are considered.  Otherwise, we have no value creation for the ratepayer or shareholder.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 hope this email will clarify any misunderstandings and permit us to achieve a successful outcome with the VSCC.  Call me at 678-427-3510 with any questions.  Jim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preble@aglresources.com" TargetMode="External"/><Relationship Id="rId3" Type="http://schemas.openxmlformats.org/officeDocument/2006/relationships/hyperlink" Target="mailto:Mcaudill@aglresources.com" TargetMode="External"/><Relationship Id="rId4" Type="http://schemas.openxmlformats.org/officeDocument/2006/relationships/hyperlink" Target="mailto:jscabare@aglresources.com" TargetMode="External"/><Relationship Id="rId5" Type="http://schemas.openxmlformats.org/officeDocument/2006/relationships/hyperlink" Target="mailto:prosput@aglresources.com" TargetMode="External"/><Relationship Id="rId6" Type="http://schemas.openxmlformats.org/officeDocument/2006/relationships/hyperlink" Target="mailto:jeff_l._huston@dom.com" TargetMode="External"/><Relationship Id="rId7" Type="http://schemas.openxmlformats.org/officeDocument/2006/relationships/hyperlink" Target="mailto:hlinginf@aglresources.com" TargetMode="External"/><Relationship Id="rId8" Type="http://schemas.openxmlformats.org/officeDocument/2006/relationships/hyperlink" Target="mailto:ddotson@aglresources.com" TargetMode="External"/><Relationship Id="rId9" Type="http://schemas.openxmlformats.org/officeDocument/2006/relationships/hyperlink" Target="mailto:rwhite@ssd.com" TargetMode="External"/><Relationship Id="rId10" Type="http://schemas.openxmlformats.org/officeDocument/2006/relationships/hyperlink" Target="mailto:Donald_A._fickenger@dom.com"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2000-10-22T21:01:00Z</dcterms:created>
  <dc:creator>AGL Resources, Inc.</dc:creator>
  <dc:description/>
  <dc:language>en-CA</dc:language>
  <cp:lastModifiedBy>AGL Resources, Inc.</cp:lastModifiedBy>
  <dcterms:modified xsi:type="dcterms:W3CDTF">2000-10-24T05:44:00Z</dcterms:modified>
  <cp:revision>9</cp:revision>
  <dc:subject/>
  <dc:title>Chpreble@aglresources</dc:title>
</cp:coreProperties>
</file>