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JOHN E. BENEDICT</w:t>
      </w:r>
    </w:p>
    <w:p>
      <w:pPr>
        <w:pStyle w:val="Normal"/>
        <w:jc w:val="center"/>
        <w:rPr>
          <w:b/>
          <w:sz w:val="22"/>
        </w:rPr>
      </w:pPr>
      <w:r>
        <w:rPr>
          <w:b/>
          <w:sz w:val="22"/>
        </w:rPr>
        <w:t>4919 Massachusetts Ave., NW</w:t>
      </w:r>
    </w:p>
    <w:p>
      <w:pPr>
        <w:pStyle w:val="Normal"/>
        <w:jc w:val="center"/>
        <w:rPr>
          <w:b/>
          <w:sz w:val="22"/>
        </w:rPr>
      </w:pPr>
      <w:r>
        <w:rPr>
          <w:b/>
          <w:sz w:val="22"/>
        </w:rPr>
        <w:t>Washington, DC  20016</w:t>
      </w:r>
    </w:p>
    <w:p>
      <w:pPr>
        <w:pStyle w:val="Normal"/>
        <w:jc w:val="center"/>
        <w:rPr>
          <w:sz w:val="21"/>
        </w:rPr>
      </w:pPr>
      <w:r>
        <w:rPr>
          <w:sz w:val="21"/>
        </w:rPr>
        <w:t>(202) 363-3629 tel</w:t>
      </w:r>
    </w:p>
    <w:p>
      <w:pPr>
        <w:pStyle w:val="Normal"/>
        <w:jc w:val="center"/>
        <w:rPr>
          <w:sz w:val="21"/>
        </w:rPr>
      </w:pPr>
      <w:r>
        <w:rPr>
          <w:sz w:val="21"/>
        </w:rPr>
        <w:t>(202) 363-3029 fax</w:t>
      </w:r>
    </w:p>
    <w:p>
      <w:pPr>
        <w:pStyle w:val="Normal"/>
        <w:jc w:val="center"/>
        <w:rPr>
          <w:sz w:val="15"/>
        </w:rPr>
      </w:pPr>
      <w:r>
        <w:rPr>
          <w:sz w:val="15"/>
        </w:rPr>
        <w:t>benedict.bros@worldnet.att.net</w:t>
      </w:r>
    </w:p>
    <w:p>
      <w:pPr>
        <w:pStyle w:val="Normal"/>
        <w:jc w:val="center"/>
        <w:rPr>
          <w:sz w:val="12"/>
        </w:rPr>
      </w:pPr>
      <w:r>
        <w:rPr>
          <w:sz w:val="12"/>
        </w:rPr>
      </w:r>
    </w:p>
    <w:p>
      <w:pPr>
        <w:pStyle w:val="Normal"/>
        <w:pBdr>
          <w:top w:val="double" w:sz="4" w:space="1" w:color="000000"/>
        </w:pBdr>
        <w:jc w:val="center"/>
        <w:rPr>
          <w:sz w:val="10"/>
        </w:rPr>
      </w:pPr>
      <w:r>
        <w:rPr>
          <w:sz w:val="10"/>
        </w:rPr>
      </w:r>
    </w:p>
    <w:tbl>
      <w:tblPr>
        <w:tblW w:w="10440" w:type="dxa"/>
        <w:jc w:val="start"/>
        <w:tblInd w:w="0" w:type="dxa"/>
        <w:tblLayout w:type="fixed"/>
        <w:tblCellMar>
          <w:top w:w="0" w:type="dxa"/>
          <w:start w:w="108" w:type="dxa"/>
          <w:bottom w:w="0" w:type="dxa"/>
          <w:end w:w="108" w:type="dxa"/>
        </w:tblCellMar>
      </w:tblPr>
      <w:tblGrid>
        <w:gridCol w:w="1998"/>
        <w:gridCol w:w="8442"/>
      </w:tblGrid>
      <w:tr>
        <w:trPr/>
        <w:tc>
          <w:tcPr>
            <w:tcW w:w="1998" w:type="dxa"/>
            <w:tcBorders/>
          </w:tcPr>
          <w:p>
            <w:pPr>
              <w:pStyle w:val="Normal"/>
              <w:jc w:val="start"/>
              <w:rPr>
                <w:sz w:val="22"/>
              </w:rPr>
            </w:pPr>
            <w:r>
              <w:rPr>
                <w:b/>
                <w:sz w:val="22"/>
              </w:rPr>
              <w:t>EDUCATION</w:t>
            </w:r>
          </w:p>
        </w:tc>
        <w:tc>
          <w:tcPr>
            <w:tcW w:w="8442" w:type="dxa"/>
            <w:tcBorders/>
          </w:tcPr>
          <w:p>
            <w:pPr>
              <w:pStyle w:val="Normal"/>
              <w:ind w:start="-18" w:end="288"/>
              <w:jc w:val="start"/>
              <w:rPr/>
            </w:pPr>
            <w:r>
              <w:rPr>
                <w:sz w:val="22"/>
              </w:rPr>
              <w:t>J.D.,</w:t>
            </w:r>
            <w:r>
              <w:rPr>
                <w:b/>
                <w:sz w:val="22"/>
              </w:rPr>
              <w:t xml:space="preserve"> Columbia University School of Law</w:t>
            </w:r>
            <w:r>
              <w:rPr>
                <w:sz w:val="22"/>
              </w:rPr>
              <w:t>, New York, NY   (1987)</w:t>
            </w:r>
          </w:p>
          <w:p>
            <w:pPr>
              <w:pStyle w:val="Normal"/>
              <w:ind w:end="288"/>
              <w:jc w:val="start"/>
              <w:rPr/>
            </w:pPr>
            <w:r>
              <w:rPr>
                <w:sz w:val="21"/>
              </w:rPr>
              <w:t xml:space="preserve">Senior Editor, </w:t>
            </w:r>
            <w:r>
              <w:rPr>
                <w:sz w:val="21"/>
                <w:u w:val="single"/>
              </w:rPr>
              <w:t>Columbia Law Review</w:t>
            </w:r>
          </w:p>
          <w:p>
            <w:pPr>
              <w:pStyle w:val="Normal"/>
              <w:ind w:end="288"/>
              <w:jc w:val="start"/>
              <w:rPr/>
            </w:pPr>
            <w:r>
              <w:rPr>
                <w:sz w:val="21"/>
              </w:rPr>
              <w:t xml:space="preserve">Note: "It's a Mistake to Tolerate the Mary Carter Agreement," 87 </w:t>
            </w:r>
            <w:r>
              <w:rPr>
                <w:sz w:val="21"/>
                <w:u w:val="single"/>
              </w:rPr>
              <w:t>Colum</w:t>
            </w:r>
            <w:r>
              <w:rPr>
                <w:sz w:val="21"/>
              </w:rPr>
              <w:t xml:space="preserve">. </w:t>
            </w:r>
            <w:r>
              <w:rPr>
                <w:sz w:val="21"/>
                <w:u w:val="single"/>
              </w:rPr>
              <w:t>L</w:t>
            </w:r>
            <w:r>
              <w:rPr>
                <w:sz w:val="21"/>
              </w:rPr>
              <w:t xml:space="preserve">. </w:t>
            </w:r>
            <w:r>
              <w:rPr>
                <w:sz w:val="21"/>
                <w:u w:val="single"/>
              </w:rPr>
              <w:t>Rev</w:t>
            </w:r>
            <w:r>
              <w:rPr>
                <w:sz w:val="21"/>
              </w:rPr>
              <w:t>. 368</w:t>
            </w:r>
          </w:p>
          <w:p>
            <w:pPr>
              <w:pStyle w:val="Normal"/>
              <w:ind w:end="288"/>
              <w:jc w:val="start"/>
              <w:rPr>
                <w:sz w:val="21"/>
              </w:rPr>
            </w:pPr>
            <w:r>
              <w:rPr>
                <w:sz w:val="21"/>
              </w:rPr>
              <w:t>Harlan Fiske Stone Scholar</w:t>
            </w:r>
          </w:p>
          <w:p>
            <w:pPr>
              <w:pStyle w:val="BlockText"/>
              <w:ind w:end="324"/>
              <w:rPr>
                <w:sz w:val="21"/>
              </w:rPr>
            </w:pPr>
            <w:r>
              <w:rPr>
                <w:sz w:val="21"/>
              </w:rPr>
              <w:t>Certificate with Honors in Comparative Law, Parker School of International Law</w:t>
            </w:r>
          </w:p>
          <w:p>
            <w:pPr>
              <w:pStyle w:val="Normal"/>
              <w:ind w:start="-18" w:end="288"/>
              <w:jc w:val="start"/>
              <w:rPr>
                <w:sz w:val="21"/>
              </w:rPr>
            </w:pPr>
            <w:r>
              <w:rPr>
                <w:sz w:val="21"/>
              </w:rPr>
            </w:r>
          </w:p>
        </w:tc>
      </w:tr>
      <w:tr>
        <w:trPr/>
        <w:tc>
          <w:tcPr>
            <w:tcW w:w="1998" w:type="dxa"/>
            <w:tcBorders/>
          </w:tcPr>
          <w:p>
            <w:pPr>
              <w:pStyle w:val="Normal"/>
              <w:snapToGrid w:val="false"/>
              <w:jc w:val="start"/>
              <w:rPr>
                <w:sz w:val="22"/>
              </w:rPr>
            </w:pPr>
            <w:r>
              <w:rPr>
                <w:sz w:val="22"/>
              </w:rPr>
            </w:r>
          </w:p>
        </w:tc>
        <w:tc>
          <w:tcPr>
            <w:tcW w:w="8442" w:type="dxa"/>
            <w:tcBorders/>
          </w:tcPr>
          <w:p>
            <w:pPr>
              <w:pStyle w:val="Normal"/>
              <w:ind w:end="288"/>
              <w:jc w:val="start"/>
              <w:rPr/>
            </w:pPr>
            <w:r>
              <w:rPr>
                <w:sz w:val="22"/>
              </w:rPr>
              <w:t xml:space="preserve">A.B., </w:t>
            </w:r>
            <w:r>
              <w:rPr>
                <w:b/>
                <w:sz w:val="22"/>
              </w:rPr>
              <w:t>Davidson College</w:t>
            </w:r>
            <w:r>
              <w:rPr>
                <w:sz w:val="22"/>
              </w:rPr>
              <w:t>, Davidson, NC   (1984)</w:t>
            </w:r>
          </w:p>
          <w:p>
            <w:pPr>
              <w:pStyle w:val="Normal"/>
              <w:ind w:end="288"/>
              <w:jc w:val="start"/>
              <w:rPr>
                <w:sz w:val="21"/>
              </w:rPr>
            </w:pPr>
            <w:r>
              <w:rPr>
                <w:sz w:val="21"/>
                <w:u w:val="single"/>
              </w:rPr>
              <w:t>Cum</w:t>
            </w:r>
            <w:r>
              <w:rPr>
                <w:sz w:val="21"/>
              </w:rPr>
              <w:t xml:space="preserve"> </w:t>
            </w:r>
            <w:r>
              <w:rPr>
                <w:sz w:val="21"/>
                <w:u w:val="single"/>
              </w:rPr>
              <w:t>Laude</w:t>
            </w:r>
          </w:p>
          <w:p>
            <w:pPr>
              <w:pStyle w:val="Normal"/>
              <w:ind w:end="288"/>
              <w:jc w:val="start"/>
              <w:rPr>
                <w:sz w:val="21"/>
              </w:rPr>
            </w:pPr>
            <w:r>
              <w:rPr>
                <w:sz w:val="21"/>
              </w:rPr>
              <w:t>Center for Special Studies</w:t>
            </w:r>
          </w:p>
          <w:p>
            <w:pPr>
              <w:pStyle w:val="Normal"/>
              <w:ind w:end="288"/>
              <w:jc w:val="start"/>
              <w:rPr>
                <w:sz w:val="21"/>
              </w:rPr>
            </w:pPr>
            <w:r>
              <w:rPr>
                <w:sz w:val="21"/>
              </w:rPr>
              <w:t>Independent Major in American and European Government Policy Studies</w:t>
            </w:r>
          </w:p>
          <w:p>
            <w:pPr>
              <w:pStyle w:val="Normal"/>
              <w:ind w:end="288"/>
              <w:jc w:val="start"/>
              <w:rPr>
                <w:sz w:val="21"/>
              </w:rPr>
            </w:pPr>
            <w:r>
              <w:rPr>
                <w:sz w:val="21"/>
              </w:rPr>
              <w:t>Honors in Comparative Public Policy</w:t>
            </w:r>
          </w:p>
          <w:p>
            <w:pPr>
              <w:pStyle w:val="Normal"/>
              <w:ind w:end="288"/>
              <w:jc w:val="start"/>
              <w:rPr>
                <w:sz w:val="21"/>
              </w:rPr>
            </w:pPr>
            <w:r>
              <w:rPr>
                <w:sz w:val="21"/>
              </w:rPr>
              <w:t>Graduate Fellow, Central Intelligence Agency, Directorate of Intelligence, 1984</w:t>
            </w:r>
          </w:p>
          <w:p>
            <w:pPr>
              <w:pStyle w:val="Normal"/>
              <w:jc w:val="start"/>
              <w:rPr>
                <w:sz w:val="21"/>
              </w:rPr>
            </w:pPr>
            <w:r>
              <w:rPr>
                <w:sz w:val="21"/>
              </w:rPr>
              <w:t>U.S. Senate Intern, 1981; U.K. Parliamentary Clerk, 1983</w:t>
            </w:r>
          </w:p>
          <w:p>
            <w:pPr>
              <w:pStyle w:val="Normal"/>
              <w:jc w:val="start"/>
              <w:rPr>
                <w:sz w:val="21"/>
              </w:rPr>
            </w:pPr>
            <w:r>
              <w:rPr>
                <w:sz w:val="21"/>
              </w:rPr>
            </w:r>
          </w:p>
        </w:tc>
      </w:tr>
      <w:tr>
        <w:trPr/>
        <w:tc>
          <w:tcPr>
            <w:tcW w:w="1998" w:type="dxa"/>
            <w:tcBorders/>
          </w:tcPr>
          <w:p>
            <w:pPr>
              <w:pStyle w:val="Normal"/>
              <w:jc w:val="start"/>
              <w:rPr>
                <w:b/>
                <w:sz w:val="22"/>
              </w:rPr>
            </w:pPr>
            <w:r>
              <w:rPr>
                <w:b/>
                <w:sz w:val="22"/>
              </w:rPr>
              <w:t>EXPERIENCE</w:t>
            </w:r>
          </w:p>
        </w:tc>
        <w:tc>
          <w:tcPr>
            <w:tcW w:w="8442" w:type="dxa"/>
            <w:tcBorders/>
          </w:tcPr>
          <w:p>
            <w:pPr>
              <w:pStyle w:val="Normal"/>
              <w:ind w:end="288"/>
              <w:jc w:val="start"/>
              <w:rPr>
                <w:sz w:val="22"/>
              </w:rPr>
            </w:pPr>
            <w:r>
              <w:rPr>
                <w:sz w:val="22"/>
              </w:rPr>
              <w:t>COMSAT CORPORATION, Bethesda, MD   (1997 to 2000)</w:t>
            </w:r>
          </w:p>
          <w:p>
            <w:pPr>
              <w:pStyle w:val="Heading6"/>
              <w:rPr>
                <w:sz w:val="22"/>
              </w:rPr>
            </w:pPr>
            <w:r>
              <w:rPr>
                <w:sz w:val="22"/>
              </w:rPr>
              <w:t>Senior Counsel</w:t>
            </w:r>
          </w:p>
          <w:p>
            <w:pPr>
              <w:pStyle w:val="BlockText"/>
              <w:ind w:end="324"/>
              <w:rPr>
                <w:sz w:val="10"/>
              </w:rPr>
            </w:pPr>
            <w:r>
              <w:rPr>
                <w:sz w:val="10"/>
              </w:rPr>
            </w:r>
          </w:p>
          <w:p>
            <w:pPr>
              <w:pStyle w:val="BlockText"/>
              <w:ind w:end="324"/>
              <w:rPr/>
            </w:pPr>
            <w:r>
              <w:rPr/>
              <w:t xml:space="preserve">Broad-based business and regulatory practice for international satellite carrier.  </w:t>
            </w:r>
          </w:p>
          <w:p>
            <w:pPr>
              <w:pStyle w:val="BlockText"/>
              <w:ind w:end="324"/>
              <w:rPr>
                <w:sz w:val="10"/>
              </w:rPr>
            </w:pPr>
            <w:r>
              <w:rPr>
                <w:sz w:val="10"/>
              </w:rPr>
            </w:r>
          </w:p>
          <w:p>
            <w:pPr>
              <w:pStyle w:val="BlockText"/>
              <w:ind w:hanging="360" w:start="342" w:end="414"/>
              <w:rPr>
                <w:sz w:val="21"/>
              </w:rPr>
            </w:pPr>
            <w:r>
              <w:rPr>
                <w:sz w:val="21"/>
              </w:rPr>
              <w:t xml:space="preserve">•     </w:t>
            </w:r>
            <w:r>
              <w:rPr>
                <w:sz w:val="21"/>
              </w:rPr>
              <w:t>Counseled management and operating personnel on regulatory, commercial, and litigation matters.</w:t>
            </w:r>
          </w:p>
          <w:p>
            <w:pPr>
              <w:pStyle w:val="BlockText"/>
              <w:ind w:end="324"/>
              <w:rPr>
                <w:sz w:val="10"/>
              </w:rPr>
            </w:pPr>
            <w:r>
              <w:rPr>
                <w:sz w:val="10"/>
              </w:rPr>
            </w:r>
          </w:p>
          <w:p>
            <w:pPr>
              <w:pStyle w:val="BlockText"/>
              <w:tabs>
                <w:tab w:val="clear" w:pos="720"/>
                <w:tab w:val="left" w:pos="792" w:leader="none"/>
                <w:tab w:val="left" w:pos="1062" w:leader="none"/>
                <w:tab w:val="left" w:pos="1422" w:leader="none"/>
                <w:tab w:val="left" w:pos="1782" w:leader="none"/>
              </w:tabs>
              <w:ind w:hanging="360" w:start="342" w:end="414"/>
              <w:rPr>
                <w:sz w:val="21"/>
              </w:rPr>
            </w:pPr>
            <w:r>
              <w:rPr>
                <w:sz w:val="21"/>
              </w:rPr>
              <w:t xml:space="preserve">•    </w:t>
            </w:r>
            <w:r>
              <w:rPr>
                <w:sz w:val="21"/>
              </w:rPr>
              <w:t xml:space="preserve">Represented company interests before the FCC, including applications for new services, licensing, petitions and complaints, rulemaking proceedings, deregulation.  Advocacy before Commission staff on a wide range of issues.  </w:t>
            </w:r>
          </w:p>
          <w:p>
            <w:pPr>
              <w:pStyle w:val="BlockText"/>
              <w:ind w:end="324"/>
              <w:rPr>
                <w:sz w:val="10"/>
              </w:rPr>
            </w:pPr>
            <w:r>
              <w:rPr>
                <w:sz w:val="10"/>
              </w:rPr>
            </w:r>
          </w:p>
          <w:p>
            <w:pPr>
              <w:pStyle w:val="Normal"/>
              <w:ind w:hanging="360" w:start="342" w:end="414"/>
              <w:rPr>
                <w:sz w:val="21"/>
              </w:rPr>
            </w:pPr>
            <w:r>
              <w:rPr>
                <w:sz w:val="21"/>
              </w:rPr>
              <w:t xml:space="preserve">•    </w:t>
            </w:r>
            <w:r>
              <w:rPr>
                <w:sz w:val="21"/>
              </w:rPr>
              <w:t xml:space="preserve">Negotiated and drafted contracts and supported contracting staff.  Handled procurement matters, intercarrier agreements, E-commerce issues, service and equipment agents and resellers, collections, securities matters. </w:t>
            </w:r>
          </w:p>
          <w:p>
            <w:pPr>
              <w:pStyle w:val="BlockText"/>
              <w:ind w:end="324"/>
              <w:rPr>
                <w:sz w:val="10"/>
              </w:rPr>
            </w:pPr>
            <w:r>
              <w:rPr>
                <w:sz w:val="10"/>
              </w:rPr>
            </w:r>
          </w:p>
          <w:p>
            <w:pPr>
              <w:pStyle w:val="BlockText"/>
              <w:ind w:hanging="342" w:start="342" w:end="414"/>
              <w:rPr>
                <w:sz w:val="21"/>
              </w:rPr>
            </w:pPr>
            <w:r>
              <w:rPr>
                <w:sz w:val="21"/>
              </w:rPr>
              <w:t xml:space="preserve">•     </w:t>
            </w:r>
            <w:r>
              <w:rPr>
                <w:sz w:val="21"/>
              </w:rPr>
              <w:t xml:space="preserve">Managed high-profile litigation and appellate matters, including commercial, trade secret, government contracts and statutory rights cases and regulatory appeals. </w:t>
            </w:r>
          </w:p>
          <w:p>
            <w:pPr>
              <w:pStyle w:val="BlockText"/>
              <w:ind w:end="324"/>
              <w:rPr>
                <w:sz w:val="21"/>
                <w:u w:val="single"/>
              </w:rPr>
            </w:pPr>
            <w:r>
              <w:rPr>
                <w:sz w:val="21"/>
                <w:u w:val="single"/>
              </w:rPr>
            </w:r>
          </w:p>
        </w:tc>
      </w:tr>
      <w:tr>
        <w:trPr/>
        <w:tc>
          <w:tcPr>
            <w:tcW w:w="1998" w:type="dxa"/>
            <w:tcBorders/>
          </w:tcPr>
          <w:p>
            <w:pPr>
              <w:pStyle w:val="Normal"/>
              <w:snapToGrid w:val="false"/>
              <w:jc w:val="start"/>
              <w:rPr>
                <w:b/>
                <w:sz w:val="22"/>
                <w:u w:val="single"/>
              </w:rPr>
            </w:pPr>
            <w:r>
              <w:rPr>
                <w:b/>
                <w:sz w:val="22"/>
                <w:u w:val="single"/>
              </w:rPr>
            </w:r>
          </w:p>
        </w:tc>
        <w:tc>
          <w:tcPr>
            <w:tcW w:w="8442" w:type="dxa"/>
            <w:tcBorders/>
          </w:tcPr>
          <w:p>
            <w:pPr>
              <w:pStyle w:val="Normal"/>
              <w:ind w:end="288"/>
              <w:jc w:val="start"/>
              <w:rPr>
                <w:sz w:val="22"/>
              </w:rPr>
            </w:pPr>
            <w:r>
              <w:rPr>
                <w:sz w:val="22"/>
              </w:rPr>
              <w:t>PIPER &amp; MARBURY LLP, Washington, DC   (1993 to 1997)</w:t>
            </w:r>
          </w:p>
          <w:p>
            <w:pPr>
              <w:pStyle w:val="Heading8"/>
              <w:rPr/>
            </w:pPr>
            <w:r>
              <w:rPr/>
              <w:t>Associate</w:t>
            </w:r>
          </w:p>
          <w:p>
            <w:pPr>
              <w:pStyle w:val="BlockText"/>
              <w:ind w:end="324"/>
              <w:rPr>
                <w:sz w:val="10"/>
              </w:rPr>
            </w:pPr>
            <w:r>
              <w:rPr>
                <w:sz w:val="10"/>
              </w:rPr>
            </w:r>
          </w:p>
          <w:p>
            <w:pPr>
              <w:pStyle w:val="Normal"/>
              <w:ind w:start="-18" w:end="324"/>
              <w:rPr>
                <w:sz w:val="22"/>
              </w:rPr>
            </w:pPr>
            <w:r>
              <w:rPr>
                <w:sz w:val="22"/>
              </w:rPr>
              <w:t xml:space="preserve">Regulatory, litigation, and commercial practice for communications clients.  </w:t>
            </w:r>
          </w:p>
          <w:p>
            <w:pPr>
              <w:pStyle w:val="BlockText"/>
              <w:ind w:end="324"/>
              <w:rPr>
                <w:sz w:val="10"/>
              </w:rPr>
            </w:pPr>
            <w:r>
              <w:rPr>
                <w:sz w:val="10"/>
              </w:rPr>
            </w:r>
          </w:p>
          <w:p>
            <w:pPr>
              <w:pStyle w:val="Normal"/>
              <w:ind w:hanging="360" w:start="342" w:end="414"/>
              <w:rPr>
                <w:sz w:val="21"/>
              </w:rPr>
            </w:pPr>
            <w:r>
              <w:rPr>
                <w:sz w:val="21"/>
              </w:rPr>
              <w:t xml:space="preserve">•     </w:t>
            </w:r>
            <w:r>
              <w:rPr>
                <w:sz w:val="21"/>
              </w:rPr>
              <w:t xml:space="preserve">Substantial experience in regulatory, litigation, and business counseling; state and federal advocacy; and contract negotiation, arbitration, and litigation.  </w:t>
            </w:r>
          </w:p>
          <w:p>
            <w:pPr>
              <w:pStyle w:val="BlockText"/>
              <w:ind w:end="324"/>
              <w:rPr>
                <w:sz w:val="10"/>
              </w:rPr>
            </w:pPr>
            <w:r>
              <w:rPr>
                <w:sz w:val="10"/>
              </w:rPr>
            </w:r>
          </w:p>
          <w:p>
            <w:pPr>
              <w:pStyle w:val="Normal"/>
              <w:ind w:hanging="360" w:start="342" w:end="414"/>
              <w:rPr>
                <w:sz w:val="21"/>
              </w:rPr>
            </w:pPr>
            <w:r>
              <w:rPr>
                <w:sz w:val="21"/>
              </w:rPr>
              <w:t xml:space="preserve">•     </w:t>
            </w:r>
            <w:r>
              <w:rPr>
                <w:sz w:val="21"/>
              </w:rPr>
              <w:t xml:space="preserve">Principal responsibility for major CLEC rollout in several states, including licensing and service introduction, contracts and tariffing, RBOC interconnection agreements, 271 issues and disputes, state and federal rulemakings, regulatory compliance, challenges to ordinances. </w:t>
            </w:r>
          </w:p>
          <w:p>
            <w:pPr>
              <w:pStyle w:val="BlockText"/>
              <w:ind w:end="324"/>
              <w:rPr>
                <w:sz w:val="10"/>
              </w:rPr>
            </w:pPr>
            <w:r>
              <w:rPr>
                <w:sz w:val="10"/>
              </w:rPr>
            </w:r>
          </w:p>
          <w:p>
            <w:pPr>
              <w:pStyle w:val="Normal"/>
              <w:tabs>
                <w:tab w:val="clear" w:pos="720"/>
                <w:tab w:val="left" w:pos="7812" w:leader="none"/>
              </w:tabs>
              <w:ind w:hanging="360" w:start="342" w:end="414"/>
              <w:rPr>
                <w:sz w:val="21"/>
              </w:rPr>
            </w:pPr>
            <w:r>
              <w:rPr>
                <w:sz w:val="21"/>
              </w:rPr>
              <w:t xml:space="preserve">•   </w:t>
            </w:r>
            <w:r>
              <w:rPr>
                <w:sz w:val="21"/>
              </w:rPr>
              <w:t xml:space="preserve">Additional experience in legislative matters (including Telecom Act), Internet service provider issues, private line service structuring, securities and IPO issues, asset sales/purchases, equipment and antenna site leases, real estate litigation, government contracts. </w:t>
            </w:r>
          </w:p>
          <w:p>
            <w:pPr>
              <w:pStyle w:val="BlockText"/>
              <w:ind w:end="324"/>
              <w:rPr>
                <w:sz w:val="10"/>
              </w:rPr>
            </w:pPr>
            <w:r>
              <w:rPr>
                <w:sz w:val="10"/>
              </w:rPr>
            </w:r>
          </w:p>
          <w:p>
            <w:pPr>
              <w:pStyle w:val="Normal"/>
              <w:tabs>
                <w:tab w:val="clear" w:pos="720"/>
                <w:tab w:val="left" w:pos="7812" w:leader="none"/>
              </w:tabs>
              <w:ind w:hanging="360" w:start="342" w:end="414"/>
              <w:rPr>
                <w:sz w:val="21"/>
              </w:rPr>
            </w:pPr>
            <w:r>
              <w:rPr>
                <w:sz w:val="21"/>
              </w:rPr>
              <w:t xml:space="preserve">•   </w:t>
            </w:r>
            <w:r>
              <w:rPr>
                <w:sz w:val="21"/>
              </w:rPr>
              <w:t xml:space="preserve">First chair courtroom and hearing experience, including FCC, state commissions, and courts.  Handled dispositive motions, significant arbitration, and settlement negotiations. </w:t>
            </w:r>
          </w:p>
          <w:p>
            <w:pPr>
              <w:pStyle w:val="Normal"/>
              <w:ind w:start="-18" w:end="324"/>
              <w:rPr>
                <w:sz w:val="22"/>
              </w:rPr>
            </w:pPr>
            <w:r>
              <w:rPr>
                <w:sz w:val="22"/>
              </w:rPr>
            </w:r>
          </w:p>
        </w:tc>
      </w:tr>
    </w:tbl>
    <w:p>
      <w:pPr>
        <w:pStyle w:val="Normal"/>
        <w:ind w:start="1440" w:end="1278"/>
        <w:jc w:val="end"/>
        <w:rPr>
          <w:b/>
          <w:sz w:val="22"/>
        </w:rPr>
      </w:pPr>
      <w:r>
        <w:br w:type="page"/>
      </w:r>
      <w:r>
        <w:rPr>
          <w:b/>
          <w:sz w:val="22"/>
        </w:rPr>
      </w:r>
    </w:p>
    <w:p>
      <w:pPr>
        <w:pStyle w:val="Normal"/>
        <w:jc w:val="center"/>
        <w:rPr>
          <w:b/>
          <w:sz w:val="14"/>
        </w:rPr>
      </w:pPr>
      <w:r>
        <w:rPr>
          <w:b/>
          <w:sz w:val="14"/>
        </w:rPr>
      </w:r>
    </w:p>
    <w:p>
      <w:pPr>
        <w:pStyle w:val="Normal"/>
        <w:jc w:val="center"/>
        <w:rPr>
          <w:b/>
          <w:sz w:val="22"/>
        </w:rPr>
      </w:pPr>
      <w:r>
        <w:rPr>
          <w:b/>
          <w:sz w:val="22"/>
        </w:rPr>
        <w:t>JOHN E. BENEDICT</w:t>
      </w:r>
    </w:p>
    <w:p>
      <w:pPr>
        <w:pStyle w:val="Normal"/>
        <w:jc w:val="center"/>
        <w:rPr>
          <w:b/>
          <w:sz w:val="22"/>
        </w:rPr>
      </w:pPr>
      <w:r>
        <w:rPr>
          <w:b/>
          <w:sz w:val="22"/>
        </w:rPr>
        <w:t>Page Two</w:t>
      </w:r>
    </w:p>
    <w:p>
      <w:pPr>
        <w:pStyle w:val="Normal"/>
        <w:jc w:val="center"/>
        <w:rPr>
          <w:b/>
          <w:sz w:val="22"/>
        </w:rPr>
      </w:pPr>
      <w:r>
        <w:rPr>
          <w:b/>
          <w:sz w:val="22"/>
        </w:rPr>
      </w:r>
    </w:p>
    <w:p>
      <w:pPr>
        <w:pStyle w:val="Normal"/>
        <w:jc w:val="center"/>
        <w:rPr>
          <w:sz w:val="22"/>
        </w:rPr>
      </w:pPr>
      <w:r>
        <w:rPr>
          <w:sz w:val="22"/>
        </w:rPr>
      </w:r>
    </w:p>
    <w:p>
      <w:pPr>
        <w:pStyle w:val="Normal"/>
        <w:pBdr>
          <w:top w:val="double" w:sz="4" w:space="1" w:color="000000"/>
        </w:pBdr>
        <w:jc w:val="center"/>
        <w:rPr>
          <w:sz w:val="22"/>
        </w:rPr>
      </w:pPr>
      <w:r>
        <w:rPr>
          <w:sz w:val="22"/>
        </w:rPr>
      </w:r>
    </w:p>
    <w:p>
      <w:pPr>
        <w:pStyle w:val="Normal"/>
        <w:pBdr>
          <w:top w:val="double" w:sz="4" w:space="1" w:color="000000"/>
        </w:pBdr>
        <w:jc w:val="center"/>
        <w:rPr>
          <w:sz w:val="22"/>
        </w:rPr>
      </w:pPr>
      <w:r>
        <w:rPr>
          <w:sz w:val="22"/>
        </w:rPr>
      </w:r>
    </w:p>
    <w:tbl>
      <w:tblPr>
        <w:tblW w:w="10458" w:type="dxa"/>
        <w:jc w:val="start"/>
        <w:tblInd w:w="0" w:type="dxa"/>
        <w:tblLayout w:type="fixed"/>
        <w:tblCellMar>
          <w:top w:w="0" w:type="dxa"/>
          <w:start w:w="108" w:type="dxa"/>
          <w:bottom w:w="0" w:type="dxa"/>
          <w:end w:w="108" w:type="dxa"/>
        </w:tblCellMar>
      </w:tblPr>
      <w:tblGrid>
        <w:gridCol w:w="1998"/>
        <w:gridCol w:w="8442"/>
        <w:gridCol w:w="18"/>
      </w:tblGrid>
      <w:tr>
        <w:trPr/>
        <w:tc>
          <w:tcPr>
            <w:tcW w:w="1998" w:type="dxa"/>
            <w:tcBorders/>
          </w:tcPr>
          <w:p>
            <w:pPr>
              <w:pStyle w:val="Normal"/>
              <w:snapToGrid w:val="false"/>
              <w:ind w:end="288"/>
              <w:jc w:val="start"/>
              <w:rPr>
                <w:sz w:val="22"/>
              </w:rPr>
            </w:pPr>
            <w:r>
              <w:rPr>
                <w:sz w:val="22"/>
              </w:rPr>
            </w:r>
          </w:p>
        </w:tc>
        <w:tc>
          <w:tcPr>
            <w:tcW w:w="8460" w:type="dxa"/>
            <w:tcBorders/>
          </w:tcPr>
          <w:p>
            <w:pPr>
              <w:pStyle w:val="Normal"/>
              <w:ind w:end="288"/>
              <w:jc w:val="start"/>
              <w:rPr>
                <w:sz w:val="22"/>
              </w:rPr>
            </w:pPr>
            <w:r>
              <w:rPr>
                <w:sz w:val="22"/>
              </w:rPr>
              <w:t>JONES, DAY, REAVIS &amp; POGUE, Washington, DC   (1987 to 1993)</w:t>
            </w:r>
          </w:p>
          <w:p>
            <w:pPr>
              <w:pStyle w:val="Heading8"/>
              <w:rPr/>
            </w:pPr>
            <w:r>
              <w:rPr/>
              <w:t>Associate</w:t>
            </w:r>
          </w:p>
          <w:p>
            <w:pPr>
              <w:pStyle w:val="BlockText"/>
              <w:ind w:end="324"/>
              <w:rPr>
                <w:sz w:val="10"/>
              </w:rPr>
            </w:pPr>
            <w:r>
              <w:rPr>
                <w:sz w:val="10"/>
              </w:rPr>
            </w:r>
          </w:p>
          <w:p>
            <w:pPr>
              <w:pStyle w:val="Normal"/>
              <w:tabs>
                <w:tab w:val="clear" w:pos="720"/>
                <w:tab w:val="left" w:pos="7542" w:leader="none"/>
              </w:tabs>
              <w:ind w:start="-18" w:end="702"/>
              <w:rPr>
                <w:sz w:val="22"/>
              </w:rPr>
            </w:pPr>
            <w:r>
              <w:rPr>
                <w:sz w:val="22"/>
              </w:rPr>
              <w:t xml:space="preserve">Commercial, litigation, and regulatory practice on behalf of energy and telecommunications utilities and manufacturers.  </w:t>
            </w:r>
          </w:p>
          <w:p>
            <w:pPr>
              <w:pStyle w:val="BlockText"/>
              <w:ind w:end="324"/>
              <w:rPr>
                <w:sz w:val="10"/>
              </w:rPr>
            </w:pPr>
            <w:r>
              <w:rPr>
                <w:sz w:val="10"/>
              </w:rPr>
            </w:r>
          </w:p>
          <w:p>
            <w:pPr>
              <w:pStyle w:val="Normal"/>
              <w:tabs>
                <w:tab w:val="clear" w:pos="720"/>
                <w:tab w:val="left" w:pos="7812" w:leader="none"/>
                <w:tab w:val="left" w:pos="7902" w:leader="none"/>
                <w:tab w:val="left" w:pos="8244" w:leader="none"/>
                <w:tab w:val="left" w:pos="9720" w:leader="none"/>
              </w:tabs>
              <w:ind w:hanging="360" w:start="342" w:end="432"/>
              <w:rPr>
                <w:sz w:val="21"/>
              </w:rPr>
            </w:pPr>
            <w:r>
              <w:rPr>
                <w:sz w:val="21"/>
              </w:rPr>
              <w:t xml:space="preserve">•     </w:t>
            </w:r>
            <w:r>
              <w:rPr>
                <w:sz w:val="21"/>
              </w:rPr>
              <w:t xml:space="preserve">Substantial responsibility in contract litigation and arbitration; federal and state regulatory matters in communications, natural gas, and electric; agency rulemakings, contested proceedings, and appeals; commercial litigation; and deregulation issues.  </w:t>
            </w:r>
          </w:p>
          <w:p>
            <w:pPr>
              <w:pStyle w:val="BlockText"/>
              <w:ind w:end="324"/>
              <w:rPr>
                <w:sz w:val="10"/>
              </w:rPr>
            </w:pPr>
            <w:r>
              <w:rPr>
                <w:sz w:val="10"/>
              </w:rPr>
            </w:r>
          </w:p>
          <w:p>
            <w:pPr>
              <w:pStyle w:val="Normal"/>
              <w:tabs>
                <w:tab w:val="clear" w:pos="720"/>
                <w:tab w:val="left" w:pos="7812" w:leader="none"/>
              </w:tabs>
              <w:ind w:hanging="360" w:start="342" w:end="432"/>
              <w:rPr>
                <w:sz w:val="21"/>
              </w:rPr>
            </w:pPr>
            <w:r>
              <w:rPr>
                <w:sz w:val="21"/>
              </w:rPr>
              <w:t xml:space="preserve">•  </w:t>
            </w:r>
            <w:r>
              <w:rPr>
                <w:sz w:val="21"/>
              </w:rPr>
              <w:t>Additional experience in transactional matters, negotiating and drafting agreements, legislation, securities and compliance, international trade matters, and real estate and financing disputes.  Coordinated multi-state product liability defense litigation.</w:t>
            </w:r>
          </w:p>
          <w:p>
            <w:pPr>
              <w:pStyle w:val="BlockText"/>
              <w:ind w:end="324"/>
              <w:rPr>
                <w:sz w:val="10"/>
              </w:rPr>
            </w:pPr>
            <w:r>
              <w:rPr>
                <w:sz w:val="10"/>
              </w:rPr>
            </w:r>
          </w:p>
          <w:p>
            <w:pPr>
              <w:pStyle w:val="Normal"/>
              <w:ind w:end="342"/>
              <w:rPr>
                <w:sz w:val="21"/>
              </w:rPr>
            </w:pPr>
            <w:r>
              <w:rPr>
                <w:sz w:val="21"/>
              </w:rPr>
              <w:t xml:space="preserve">•     </w:t>
            </w:r>
            <w:r>
              <w:rPr>
                <w:sz w:val="21"/>
              </w:rPr>
              <w:t>Advocacy before FERC, FCC, and Commerce Department staff.</w:t>
            </w:r>
          </w:p>
          <w:p>
            <w:pPr>
              <w:pStyle w:val="BlockText"/>
              <w:ind w:end="324"/>
              <w:rPr>
                <w:sz w:val="10"/>
              </w:rPr>
            </w:pPr>
            <w:r>
              <w:rPr>
                <w:sz w:val="10"/>
              </w:rPr>
            </w:r>
          </w:p>
          <w:p>
            <w:pPr>
              <w:pStyle w:val="Normal"/>
              <w:ind w:end="342"/>
              <w:rPr>
                <w:sz w:val="21"/>
              </w:rPr>
            </w:pPr>
            <w:r>
              <w:rPr>
                <w:sz w:val="21"/>
              </w:rPr>
              <w:t xml:space="preserve">•     </w:t>
            </w:r>
            <w:r>
              <w:rPr>
                <w:sz w:val="21"/>
              </w:rPr>
              <w:t>Handled a wide range of agency and court appearances, witnesses, and hearings.</w:t>
            </w:r>
          </w:p>
          <w:p>
            <w:pPr>
              <w:pStyle w:val="BlockText"/>
              <w:ind w:end="324"/>
              <w:rPr>
                <w:sz w:val="10"/>
              </w:rPr>
            </w:pPr>
            <w:r>
              <w:rPr>
                <w:sz w:val="10"/>
              </w:rPr>
            </w:r>
          </w:p>
          <w:p>
            <w:pPr>
              <w:pStyle w:val="Normal"/>
              <w:ind w:end="288"/>
              <w:jc w:val="start"/>
              <w:rPr>
                <w:sz w:val="22"/>
              </w:rPr>
            </w:pPr>
            <w:r>
              <w:rPr>
                <w:sz w:val="22"/>
              </w:rPr>
            </w:r>
          </w:p>
        </w:tc>
      </w:tr>
      <w:tr>
        <w:trPr/>
        <w:tc>
          <w:tcPr>
            <w:tcW w:w="1998" w:type="dxa"/>
            <w:tcBorders/>
          </w:tcPr>
          <w:p>
            <w:pPr>
              <w:pStyle w:val="Normal"/>
              <w:jc w:val="start"/>
              <w:rPr>
                <w:sz w:val="22"/>
              </w:rPr>
            </w:pPr>
            <w:r>
              <w:rPr>
                <w:b/>
                <w:sz w:val="22"/>
              </w:rPr>
              <w:t>PROFESSIONAL</w:t>
            </w:r>
          </w:p>
        </w:tc>
        <w:tc>
          <w:tcPr>
            <w:tcW w:w="8442" w:type="dxa"/>
            <w:tcBorders/>
          </w:tcPr>
          <w:p>
            <w:pPr>
              <w:pStyle w:val="Normal"/>
              <w:ind w:end="288"/>
              <w:jc w:val="start"/>
              <w:rPr/>
            </w:pPr>
            <w:r>
              <w:rPr>
                <w:sz w:val="21"/>
                <w:u w:val="single"/>
              </w:rPr>
              <w:t>A-V Rated</w:t>
            </w:r>
            <w:r>
              <w:rPr>
                <w:sz w:val="21"/>
              </w:rPr>
              <w:t xml:space="preserve"> by Martindale Hubbell</w:t>
            </w:r>
          </w:p>
          <w:p>
            <w:pPr>
              <w:pStyle w:val="BlockText"/>
              <w:ind w:end="324"/>
              <w:rPr>
                <w:sz w:val="10"/>
              </w:rPr>
            </w:pPr>
            <w:r>
              <w:rPr>
                <w:sz w:val="10"/>
              </w:rPr>
            </w:r>
          </w:p>
          <w:p>
            <w:pPr>
              <w:pStyle w:val="Normal"/>
              <w:ind w:end="288"/>
              <w:jc w:val="start"/>
              <w:rPr/>
            </w:pPr>
            <w:r>
              <w:rPr>
                <w:sz w:val="21"/>
                <w:u w:val="single"/>
              </w:rPr>
              <w:t>Member</w:t>
            </w:r>
            <w:r>
              <w:rPr>
                <w:sz w:val="21"/>
              </w:rPr>
              <w:t>:    Maryland State Bar Association</w:t>
            </w:r>
          </w:p>
          <w:p>
            <w:pPr>
              <w:pStyle w:val="Normal"/>
              <w:ind w:end="288"/>
              <w:jc w:val="start"/>
              <w:rPr>
                <w:sz w:val="21"/>
              </w:rPr>
            </w:pPr>
            <w:r>
              <w:rPr>
                <w:sz w:val="21"/>
              </w:rPr>
              <w:t xml:space="preserve">                  </w:t>
            </w:r>
            <w:r>
              <w:rPr>
                <w:sz w:val="21"/>
              </w:rPr>
              <w:t xml:space="preserve">District of Columbia Bar Association </w:t>
            </w:r>
          </w:p>
          <w:p>
            <w:pPr>
              <w:pStyle w:val="Normal"/>
              <w:ind w:end="288"/>
              <w:jc w:val="start"/>
              <w:rPr>
                <w:sz w:val="21"/>
              </w:rPr>
            </w:pPr>
            <w:r>
              <w:rPr>
                <w:sz w:val="21"/>
              </w:rPr>
              <w:t xml:space="preserve">                  </w:t>
            </w:r>
            <w:r>
              <w:rPr>
                <w:sz w:val="21"/>
              </w:rPr>
              <w:t>Federal Communications Bar Association</w:t>
            </w:r>
          </w:p>
          <w:p>
            <w:pPr>
              <w:pStyle w:val="BlockText"/>
              <w:ind w:end="324"/>
              <w:rPr>
                <w:sz w:val="10"/>
              </w:rPr>
            </w:pPr>
            <w:r>
              <w:rPr>
                <w:sz w:val="10"/>
              </w:rPr>
            </w:r>
          </w:p>
          <w:p>
            <w:pPr>
              <w:pStyle w:val="Normal"/>
              <w:ind w:end="414"/>
              <w:rPr/>
            </w:pPr>
            <w:r>
              <w:rPr>
                <w:sz w:val="21"/>
                <w:u w:val="single"/>
              </w:rPr>
              <w:t>Admitted</w:t>
            </w:r>
            <w:r>
              <w:rPr>
                <w:sz w:val="21"/>
              </w:rPr>
              <w:t>:  Maryland Court of Appeals (1987)</w:t>
            </w:r>
          </w:p>
          <w:p>
            <w:pPr>
              <w:pStyle w:val="Normal"/>
              <w:ind w:end="414"/>
              <w:rPr>
                <w:sz w:val="21"/>
              </w:rPr>
            </w:pPr>
            <w:r>
              <w:rPr>
                <w:sz w:val="21"/>
              </w:rPr>
              <w:t xml:space="preserve">                  </w:t>
            </w:r>
            <w:r>
              <w:rPr>
                <w:sz w:val="21"/>
              </w:rPr>
              <w:t>District of Columbia Court of Appeals (1988)</w:t>
            </w:r>
          </w:p>
          <w:p>
            <w:pPr>
              <w:pStyle w:val="Normal"/>
              <w:ind w:end="414"/>
              <w:rPr>
                <w:sz w:val="21"/>
              </w:rPr>
            </w:pPr>
            <w:r>
              <w:rPr>
                <w:sz w:val="21"/>
              </w:rPr>
              <w:t xml:space="preserve">                  </w:t>
            </w:r>
            <w:r>
              <w:rPr>
                <w:sz w:val="21"/>
              </w:rPr>
              <w:t>U.S. District Court for the District of Columbia (1990)</w:t>
            </w:r>
          </w:p>
          <w:p>
            <w:pPr>
              <w:pStyle w:val="Normal"/>
              <w:ind w:end="414"/>
              <w:rPr>
                <w:sz w:val="21"/>
              </w:rPr>
            </w:pPr>
            <w:r>
              <w:rPr>
                <w:sz w:val="21"/>
              </w:rPr>
              <w:t xml:space="preserve">                  </w:t>
            </w:r>
            <w:r>
              <w:rPr>
                <w:sz w:val="21"/>
              </w:rPr>
              <w:t>U.S. Court of Appeals for the D.C. Circuit (1991)</w:t>
            </w:r>
          </w:p>
          <w:p>
            <w:pPr>
              <w:pStyle w:val="Normal"/>
              <w:ind w:end="414"/>
              <w:rPr>
                <w:sz w:val="21"/>
              </w:rPr>
            </w:pPr>
            <w:r>
              <w:rPr>
                <w:sz w:val="21"/>
              </w:rPr>
              <w:t xml:space="preserve">                  </w:t>
            </w:r>
            <w:r>
              <w:rPr>
                <w:sz w:val="21"/>
              </w:rPr>
              <w:t>U.S. District Court for the District of Maryland (1992)</w:t>
            </w:r>
          </w:p>
          <w:p>
            <w:pPr>
              <w:pStyle w:val="Normal"/>
              <w:ind w:end="414"/>
              <w:rPr>
                <w:sz w:val="21"/>
              </w:rPr>
            </w:pPr>
            <w:r>
              <w:rPr>
                <w:sz w:val="21"/>
              </w:rPr>
              <w:t xml:space="preserve">                  </w:t>
            </w:r>
            <w:r>
              <w:rPr>
                <w:sz w:val="21"/>
              </w:rPr>
              <w:t xml:space="preserve">U.S. Court of Appeals for the Fourth Circuit (1992) </w:t>
            </w:r>
          </w:p>
          <w:p>
            <w:pPr>
              <w:pStyle w:val="Normal"/>
              <w:ind w:end="504"/>
              <w:rPr>
                <w:sz w:val="12"/>
              </w:rPr>
            </w:pPr>
            <w:r>
              <w:rPr>
                <w:sz w:val="12"/>
              </w:rPr>
            </w:r>
          </w:p>
          <w:p>
            <w:pPr>
              <w:pStyle w:val="Normal"/>
              <w:ind w:end="288"/>
              <w:jc w:val="start"/>
              <w:rPr>
                <w:b/>
                <w:sz w:val="21"/>
              </w:rPr>
            </w:pPr>
            <w:r>
              <w:rPr>
                <w:b/>
                <w:sz w:val="21"/>
              </w:rPr>
            </w:r>
          </w:p>
          <w:p>
            <w:pPr>
              <w:pStyle w:val="Normal"/>
              <w:ind w:end="288"/>
              <w:jc w:val="start"/>
              <w:rPr>
                <w:b/>
                <w:sz w:val="21"/>
              </w:rPr>
            </w:pPr>
            <w:r>
              <w:rPr>
                <w:b/>
                <w:sz w:val="21"/>
              </w:rPr>
            </w:r>
          </w:p>
        </w:tc>
      </w:tr>
    </w:tbl>
    <w:p>
      <w:pPr>
        <w:pStyle w:val="Normal"/>
        <w:ind w:start="270" w:end="288"/>
        <w:jc w:val="start"/>
        <w:rPr>
          <w:sz w:val="22"/>
        </w:rPr>
      </w:pPr>
      <w:r>
        <w:rPr>
          <w:sz w:val="22"/>
        </w:rPr>
      </w:r>
    </w:p>
    <w:sectPr>
      <w:type w:val="nextPage"/>
      <w:pgSz w:w="12240" w:h="15840"/>
      <w:pgMar w:left="864" w:right="864" w:gutter="0" w:header="0" w:top="72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Heading1">
    <w:name w:val="heading 1"/>
    <w:basedOn w:val="Normal"/>
    <w:next w:val="bodytext1"/>
    <w:qFormat/>
    <w:pPr>
      <w:keepNext w:val="true"/>
      <w:keepLines/>
      <w:numPr>
        <w:ilvl w:val="0"/>
        <w:numId w:val="1"/>
      </w:numPr>
      <w:spacing w:before="480" w:after="0"/>
      <w:jc w:val="center"/>
      <w:outlineLvl w:val="0"/>
    </w:pPr>
    <w:rPr>
      <w:b/>
      <w:caps/>
      <w:color w:val="000080"/>
    </w:rPr>
  </w:style>
  <w:style w:type="paragraph" w:styleId="Heading2">
    <w:name w:val="heading 2"/>
    <w:basedOn w:val="Heading1"/>
    <w:next w:val="bodytext1"/>
    <w:qFormat/>
    <w:pPr>
      <w:numPr>
        <w:ilvl w:val="1"/>
        <w:numId w:val="1"/>
      </w:numPr>
      <w:spacing w:before="360" w:after="0"/>
      <w:outlineLvl w:val="1"/>
    </w:pPr>
    <w:rPr>
      <w:caps w:val="false"/>
      <w:smallCaps w:val="false"/>
      <w:color w:val="800080"/>
    </w:rPr>
  </w:style>
  <w:style w:type="paragraph" w:styleId="Heading3">
    <w:name w:val="heading 3"/>
    <w:basedOn w:val="Heading2"/>
    <w:next w:val="bodytext1"/>
    <w:qFormat/>
    <w:pPr>
      <w:numPr>
        <w:ilvl w:val="2"/>
        <w:numId w:val="1"/>
      </w:numPr>
      <w:jc w:val="start"/>
      <w:outlineLvl w:val="2"/>
    </w:pPr>
    <w:rPr>
      <w:color w:val="008000"/>
    </w:rPr>
  </w:style>
  <w:style w:type="paragraph" w:styleId="Heading4">
    <w:name w:val="heading 4"/>
    <w:basedOn w:val="Heading3"/>
    <w:next w:val="bodytext1"/>
    <w:qFormat/>
    <w:pPr>
      <w:numPr>
        <w:ilvl w:val="3"/>
        <w:numId w:val="1"/>
      </w:numPr>
      <w:outlineLvl w:val="3"/>
    </w:pPr>
    <w:rPr>
      <w:i/>
      <w:color w:val="auto"/>
    </w:rPr>
  </w:style>
  <w:style w:type="paragraph" w:styleId="Heading5">
    <w:name w:val="heading 5"/>
    <w:basedOn w:val="Heading4"/>
    <w:next w:val="bodytext1"/>
    <w:qFormat/>
    <w:pPr>
      <w:numPr>
        <w:ilvl w:val="4"/>
        <w:numId w:val="1"/>
      </w:numPr>
      <w:outlineLvl w:val="4"/>
    </w:pPr>
    <w:rPr>
      <w:b w:val="false"/>
    </w:rPr>
  </w:style>
  <w:style w:type="paragraph" w:styleId="Heading6">
    <w:name w:val="heading 6"/>
    <w:basedOn w:val="Normal"/>
    <w:next w:val="Normal"/>
    <w:qFormat/>
    <w:pPr>
      <w:keepNext w:val="true"/>
      <w:numPr>
        <w:ilvl w:val="5"/>
        <w:numId w:val="1"/>
      </w:numPr>
      <w:ind w:hanging="0" w:start="0" w:end="288"/>
      <w:jc w:val="start"/>
      <w:outlineLvl w:val="5"/>
    </w:pPr>
    <w:rPr>
      <w:b/>
      <w:sz w:val="21"/>
    </w:rPr>
  </w:style>
  <w:style w:type="paragraph" w:styleId="Heading7">
    <w:name w:val="heading 7"/>
    <w:basedOn w:val="Normal"/>
    <w:next w:val="Normal"/>
    <w:qFormat/>
    <w:pPr>
      <w:keepNext w:val="true"/>
      <w:numPr>
        <w:ilvl w:val="6"/>
        <w:numId w:val="1"/>
      </w:numPr>
      <w:ind w:hanging="0" w:start="1440" w:end="1278"/>
      <w:jc w:val="end"/>
      <w:outlineLvl w:val="6"/>
    </w:pPr>
    <w:rPr>
      <w:b/>
      <w:sz w:val="22"/>
    </w:rPr>
  </w:style>
  <w:style w:type="paragraph" w:styleId="Heading8">
    <w:name w:val="heading 8"/>
    <w:basedOn w:val="Normal"/>
    <w:next w:val="Normal"/>
    <w:qFormat/>
    <w:pPr>
      <w:keepNext w:val="true"/>
      <w:numPr>
        <w:ilvl w:val="7"/>
        <w:numId w:val="1"/>
      </w:numPr>
      <w:ind w:hanging="0" w:start="0" w:end="288"/>
      <w:jc w:val="start"/>
      <w:outlineLvl w:val="7"/>
    </w:pPr>
    <w:rPr>
      <w:b/>
      <w:sz w:val="22"/>
    </w:rPr>
  </w:style>
  <w:style w:type="paragraph" w:styleId="Heading9">
    <w:name w:val="heading 9"/>
    <w:basedOn w:val="Normal"/>
    <w:next w:val="Normal"/>
    <w:qFormat/>
    <w:pPr>
      <w:keepNext w:val="true"/>
      <w:numPr>
        <w:ilvl w:val="8"/>
        <w:numId w:val="1"/>
      </w:numPr>
      <w:jc w:val="center"/>
      <w:outlineLvl w:val="8"/>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240" w:after="0"/>
      <w:ind w:firstLine="720" w:start="0" w:end="0"/>
    </w:pPr>
    <w:rPr/>
  </w:style>
  <w:style w:type="paragraph" w:styleId="TOC1">
    <w:name w:val="toc 1"/>
    <w:basedOn w:val="Normal"/>
    <w:next w:val="Normal"/>
    <w:pPr>
      <w:tabs>
        <w:tab w:val="clear" w:pos="720"/>
        <w:tab w:val="decimal" w:pos="8640" w:leader="dot"/>
      </w:tabs>
      <w:spacing w:before="120" w:after="0"/>
      <w:ind w:hanging="360" w:start="360" w:end="0"/>
    </w:pPr>
    <w:rPr/>
  </w:style>
  <w:style w:type="paragraph" w:styleId="TOC2">
    <w:name w:val="toc 2"/>
    <w:basedOn w:val="TOC1"/>
    <w:next w:val="Normal"/>
    <w:pPr>
      <w:spacing w:before="60" w:after="0"/>
      <w:ind w:hanging="360" w:start="720" w:end="720"/>
    </w:pPr>
    <w:rPr/>
  </w:style>
  <w:style w:type="paragraph" w:styleId="TOC3">
    <w:name w:val="toc 3"/>
    <w:basedOn w:val="TOC2"/>
    <w:next w:val="Normal"/>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pPr>
    <w:rPr>
      <w:color w:val="000000"/>
    </w:rPr>
  </w:style>
  <w:style w:type="paragraph" w:styleId="Header">
    <w:name w:val="header"/>
    <w:basedOn w:val="Normal"/>
    <w:pPr/>
    <w:rPr/>
  </w:style>
  <w:style w:type="paragraph" w:styleId="FootnoteText">
    <w:name w:val="footnote text"/>
    <w:basedOn w:val="Normal"/>
    <w:pPr>
      <w:spacing w:before="240" w:after="0"/>
      <w:ind w:hanging="86" w:start="86" w:end="0"/>
    </w:pPr>
    <w:rPr>
      <w:sz w:val="20"/>
    </w:rPr>
  </w:style>
  <w:style w:type="paragraph" w:styleId="NormalIndent">
    <w:name w:val="Normal Indent"/>
    <w:basedOn w:val="Normal"/>
    <w:qFormat/>
    <w:pPr>
      <w:spacing w:before="240" w:after="0"/>
      <w:ind w:hanging="0" w:start="720" w:end="0"/>
    </w:pPr>
    <w:rPr/>
  </w:style>
  <w:style w:type="paragraph" w:styleId="EndnoteText">
    <w:name w:val="endnote text"/>
    <w:basedOn w:val="Normal"/>
    <w:pPr/>
    <w:rPr>
      <w:sz w:val="20"/>
    </w:rPr>
  </w:style>
  <w:style w:type="paragraph" w:styleId="heading1notoc">
    <w:name w:val="heading 1 (no toc)"/>
    <w:basedOn w:val="Heading1"/>
    <w:next w:val="bodytext1"/>
    <w:qFormat/>
    <w:pPr>
      <w:numPr>
        <w:ilvl w:val="0"/>
        <w:numId w:val="0"/>
      </w:numPr>
      <w:outlineLvl w:val="9"/>
    </w:pPr>
    <w:rPr/>
  </w:style>
  <w:style w:type="paragraph" w:styleId="heading2notoc">
    <w:name w:val="heading 2 (no toc)"/>
    <w:basedOn w:val="Heading2"/>
    <w:next w:val="bodytext1"/>
    <w:qFormat/>
    <w:pPr>
      <w:numPr>
        <w:ilvl w:val="0"/>
        <w:numId w:val="0"/>
      </w:numPr>
      <w:outlineLvl w:val="9"/>
    </w:pPr>
    <w:rPr/>
  </w:style>
  <w:style w:type="paragraph" w:styleId="heading3notoc">
    <w:name w:val="heading 3 (no toc)"/>
    <w:basedOn w:val="Heading3"/>
    <w:next w:val="bodytext1"/>
    <w:qFormat/>
    <w:pPr>
      <w:numPr>
        <w:ilvl w:val="0"/>
        <w:numId w:val="0"/>
      </w:numPr>
      <w:outlineLvl w:val="9"/>
    </w:pPr>
    <w:rPr/>
  </w:style>
  <w:style w:type="paragraph" w:styleId="ListBullet">
    <w:name w:val="List Bullet"/>
    <w:basedOn w:val="Normal"/>
    <w:pPr>
      <w:spacing w:before="240" w:after="0"/>
      <w:ind w:hanging="360" w:start="360" w:end="0"/>
    </w:pPr>
    <w:rPr/>
  </w:style>
  <w:style w:type="paragraph" w:styleId="ListBullet2">
    <w:name w:val="List Bullet 2"/>
    <w:basedOn w:val="ListBullet"/>
    <w:pPr>
      <w:ind w:hanging="360" w:start="720" w:end="0"/>
    </w:pPr>
    <w:rPr/>
  </w:style>
  <w:style w:type="paragraph" w:styleId="ListBullet3">
    <w:name w:val="List Bullet 3"/>
    <w:basedOn w:val="ListBullet2"/>
    <w:pPr>
      <w:ind w:hanging="360" w:start="1080" w:end="0"/>
    </w:pPr>
    <w:rPr/>
  </w:style>
  <w:style w:type="paragraph" w:styleId="ListBullet4">
    <w:name w:val="List Bullet 4"/>
    <w:basedOn w:val="ListBullet3"/>
    <w:pPr>
      <w:ind w:hanging="360" w:start="1440" w:end="0"/>
    </w:pPr>
    <w:rPr/>
  </w:style>
  <w:style w:type="paragraph" w:styleId="ListBullet5">
    <w:name w:val="List Bullet 5"/>
    <w:basedOn w:val="ListBullet4"/>
    <w:pPr>
      <w:ind w:hanging="360" w:start="1800" w:end="0"/>
    </w:pPr>
    <w:rPr/>
  </w:style>
  <w:style w:type="paragraph" w:styleId="heading4notoc">
    <w:name w:val="heading 4 (no toc)"/>
    <w:basedOn w:val="Heading4"/>
    <w:next w:val="bodytext1"/>
    <w:qFormat/>
    <w:pPr>
      <w:numPr>
        <w:ilvl w:val="0"/>
        <w:numId w:val="0"/>
      </w:numPr>
      <w:outlineLvl w:val="9"/>
    </w:pPr>
    <w:rPr/>
  </w:style>
  <w:style w:type="paragraph" w:styleId="heading5notoc">
    <w:name w:val="heading 5 (no toc)"/>
    <w:basedOn w:val="Heading5"/>
    <w:next w:val="bodytext1"/>
    <w:qFormat/>
    <w:pPr>
      <w:numPr>
        <w:ilvl w:val="0"/>
        <w:numId w:val="0"/>
      </w:numPr>
      <w:outlineLvl w:val="9"/>
    </w:pPr>
    <w:rPr/>
  </w:style>
  <w:style w:type="paragraph" w:styleId="List1d">
    <w:name w:val="List 1.d"/>
    <w:basedOn w:val="ListBullet"/>
    <w:qFormat/>
    <w:pPr>
      <w:tabs>
        <w:tab w:val="clear" w:pos="720"/>
        <w:tab w:val="decimal" w:pos="504" w:leader="none"/>
      </w:tabs>
      <w:ind w:hanging="720" w:start="720" w:end="0"/>
    </w:pPr>
    <w:rPr/>
  </w:style>
  <w:style w:type="paragraph" w:styleId="List2d">
    <w:name w:val="List 2.d"/>
    <w:basedOn w:val="ListBullet2"/>
    <w:qFormat/>
    <w:pPr>
      <w:tabs>
        <w:tab w:val="clear" w:pos="720"/>
        <w:tab w:val="decimal" w:pos="1224" w:leader="none"/>
      </w:tabs>
      <w:ind w:hanging="720" w:start="1440" w:end="0"/>
    </w:pPr>
    <w:rPr/>
  </w:style>
  <w:style w:type="paragraph" w:styleId="List3d">
    <w:name w:val="List 3.d"/>
    <w:basedOn w:val="ListBullet3"/>
    <w:qFormat/>
    <w:pPr>
      <w:tabs>
        <w:tab w:val="clear" w:pos="720"/>
        <w:tab w:val="decimal" w:pos="1944" w:leader="none"/>
      </w:tabs>
      <w:ind w:hanging="720" w:start="2160" w:end="0"/>
    </w:pPr>
    <w:rPr/>
  </w:style>
  <w:style w:type="paragraph" w:styleId="List4d">
    <w:name w:val="List 4.d"/>
    <w:basedOn w:val="ListBullet4"/>
    <w:qFormat/>
    <w:pPr>
      <w:tabs>
        <w:tab w:val="clear" w:pos="720"/>
        <w:tab w:val="decimal" w:pos="2664" w:leader="none"/>
      </w:tabs>
      <w:ind w:hanging="720" w:start="2880" w:end="0"/>
    </w:pPr>
    <w:rPr/>
  </w:style>
  <w:style w:type="paragraph" w:styleId="List5d">
    <w:name w:val="List 5.d"/>
    <w:basedOn w:val="ListBullet5"/>
    <w:qFormat/>
    <w:pPr>
      <w:tabs>
        <w:tab w:val="clear" w:pos="720"/>
        <w:tab w:val="decimal" w:pos="3384" w:leader="none"/>
      </w:tabs>
      <w:ind w:hanging="720" w:start="3600" w:end="0"/>
    </w:pPr>
    <w:rPr/>
  </w:style>
  <w:style w:type="paragraph" w:styleId="Quote">
    <w:name w:val="Quote"/>
    <w:basedOn w:val="Normal"/>
    <w:qFormat/>
    <w:pPr>
      <w:spacing w:before="240" w:after="0"/>
      <w:ind w:hanging="0" w:start="1440" w:end="1440"/>
    </w:pPr>
    <w:rPr/>
  </w:style>
  <w:style w:type="paragraph" w:styleId="footerinfo">
    <w:name w:val="footerinfo"/>
    <w:basedOn w:val="Normal"/>
    <w:qFormat/>
    <w:pPr>
      <w:spacing w:lineRule="atLeast" w:line="240"/>
      <w:jc w:val="start"/>
    </w:pPr>
    <w:rPr>
      <w:rFonts w:ascii="Arial" w:hAnsi="Arial" w:cs="Arial"/>
      <w:sz w:val="16"/>
    </w:rPr>
  </w:style>
  <w:style w:type="paragraph" w:styleId="Page">
    <w:name w:val="Page#"/>
    <w:basedOn w:val="Normal"/>
    <w:qFormat/>
    <w:pPr>
      <w:jc w:val="center"/>
    </w:pPr>
    <w:rPr/>
  </w:style>
  <w:style w:type="paragraph" w:styleId="title">
    <w:name w:val="title"/>
    <w:basedOn w:val="bodytext1"/>
    <w:qFormat/>
    <w:pPr>
      <w:spacing w:lineRule="atLeast" w:line="480"/>
      <w:ind w:hanging="0" w:start="0" w:end="0"/>
      <w:jc w:val="center"/>
    </w:pPr>
    <w:rPr>
      <w:smallCaps/>
      <w:spacing w:val="40"/>
      <w:sz w:val="28"/>
    </w:rPr>
  </w:style>
  <w:style w:type="paragraph" w:styleId="BlockText">
    <w:name w:val="Block Text"/>
    <w:basedOn w:val="Normal"/>
    <w:qFormat/>
    <w:pPr>
      <w:ind w:hanging="0" w:start="-18" w:end="1278"/>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2000-05-23T13:34:00Z</dcterms:created>
  <dc:creator>Benedict, John E.|JEB|JEB</dc:creator>
  <dc:description/>
  <cp:keywords>!!&amp;28387/WASH01A&amp;!!</cp:keywords>
  <dc:language>en-CA</dc:language>
  <cp:lastModifiedBy>Stanley Ross</cp:lastModifiedBy>
  <cp:lastPrinted>2000-05-15T11:52:00Z</cp:lastPrinted>
  <dcterms:modified xsi:type="dcterms:W3CDTF">2000-05-23T13:34:00Z</dcterms:modified>
  <cp:revision>2</cp:revision>
  <dc:subject/>
  <dc:title>JOHN E</dc:title>
</cp:coreProperties>
</file>