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LLGM DRAFT</w:t>
      </w:r>
    </w:p>
    <w:p>
      <w:pPr>
        <w:pStyle w:val="Normal"/>
        <w:jc w:val="end"/>
        <w:rPr/>
      </w:pPr>
      <w:r>
        <w:rPr/>
        <w:t>SEPTEMBER 26, 2000</w:t>
      </w:r>
    </w:p>
    <w:p>
      <w:pPr>
        <w:pStyle w:val="Normal"/>
        <w:spacing w:before="480" w:after="480"/>
        <w:jc w:val="center"/>
        <w:rPr>
          <w:b/>
        </w:rPr>
      </w:pPr>
      <w:r>
        <w:rPr>
          <w:b/>
        </w:rPr>
        <w:t>Power Purchase F</w:t>
      </w:r>
      <w:bookmarkStart w:id="0" w:name="_Ref493517054"/>
      <w:bookmarkEnd w:id="0"/>
      <w:r>
        <w:rPr>
          <w:b/>
        </w:rPr>
        <w:t>inancial Settlement Agreement</w:t>
      </w:r>
    </w:p>
    <w:p>
      <w:pPr>
        <w:pStyle w:val="bodytextind"/>
        <w:rPr/>
      </w:pPr>
      <w:r>
        <w:rPr/>
        <w:t>This Power Purchase Financial Settlement Agreement (this "</w:t>
      </w:r>
      <w:r>
        <w:rPr>
          <w:u w:val="single"/>
        </w:rPr>
        <w:t>Agreement</w:t>
      </w:r>
      <w:r>
        <w:rPr/>
        <w:t>"), is made this __ day of [           ], 2000, by and between Boston Edison Company, a Massachusetts corporation ("</w:t>
      </w:r>
      <w:r>
        <w:rPr>
          <w:u w:val="single"/>
        </w:rPr>
        <w:t>BECo</w:t>
      </w:r>
      <w:r>
        <w:rPr/>
        <w:t>") and Enron Power Marketing, Inc., a Delaware corporation ("</w:t>
      </w:r>
      <w:r>
        <w:rPr>
          <w:u w:val="single"/>
        </w:rPr>
        <w:t>EPMI</w:t>
      </w:r>
      <w:r>
        <w:rPr/>
        <w:t>"), (each, a "</w:t>
      </w:r>
      <w:r>
        <w:rPr>
          <w:u w:val="single"/>
        </w:rPr>
        <w:t>Party</w:t>
      </w:r>
      <w:r>
        <w:rPr/>
        <w:t>" and collectively the "</w:t>
      </w:r>
      <w:r>
        <w:rPr>
          <w:u w:val="single"/>
        </w:rPr>
        <w:t>Parties</w:t>
      </w:r>
      <w:r>
        <w:rPr/>
        <w:t>").</w:t>
      </w:r>
    </w:p>
    <w:p>
      <w:pPr>
        <w:pStyle w:val="bodytextind"/>
        <w:rPr/>
      </w:pPr>
      <w:r>
        <w:rPr/>
        <w:t>WHEREAS, the Parties have simultaneously entered into that certain Wholesale Power Supply Agreement (the "</w:t>
      </w:r>
      <w:r>
        <w:rPr>
          <w:u w:val="single"/>
        </w:rPr>
        <w:t>WPSA</w:t>
      </w:r>
      <w:r>
        <w:rPr/>
        <w:t>") dated of even date herewith, pursuant to which EPMI has agreed to sell, and BECo has agreed to purchase, certain amounts of Power required by BECo to satisfy its obligation to provide electric service to its Standard Offer Customers and Wholesale Contract Customers; and</w:t>
      </w:r>
    </w:p>
    <w:p>
      <w:pPr>
        <w:pStyle w:val="bodytextind"/>
        <w:rPr/>
      </w:pPr>
      <w:r>
        <w:rPr/>
        <w:t xml:space="preserve">WHEREAS, in conjunction with and in partial consideration of the WPSA, the Parties desire to enter into this Agreement regarding a financially settled contract for differences in respect of (a) the purchase by EPMI from BECo of the Mandatory Deemed Purchase Energy Volumes (as defined below) and (b) the option, on the part of EPMI, to sell to BECo from time to time during the Transactions Term (as defined below) up to fifty percent (50%) of such Mandatory Deemed Purchase Energy Volumes.  </w:t>
      </w:r>
    </w:p>
    <w:p>
      <w:pPr>
        <w:pStyle w:val="bodytextind"/>
        <w:rPr/>
      </w:pPr>
      <w:r>
        <w:rPr/>
        <w:t>NOW, THEREFORE, in consideration of the foregoing and the mutual promises, covenants and agreements contained herein, and other good and valuable consideration, the receipt and sufficiency of which are hereby acknowledged by the Parties, the Parties hereby agree as follows:</w:t>
      </w:r>
    </w:p>
    <w:p>
      <w:pPr>
        <w:pStyle w:val="Heading1"/>
        <w:ind w:hanging="0" w:start="0"/>
        <w:rPr/>
      </w:pPr>
      <w:r>
        <w:rPr/>
        <w:t>Term</w:t>
      </w:r>
      <w:r>
        <w:rPr>
          <w:u w:val="none"/>
        </w:rPr>
        <w:t>.</w:t>
      </w:r>
    </w:p>
    <w:p>
      <w:pPr>
        <w:pStyle w:val="bodytextind"/>
        <w:rPr/>
      </w:pPr>
      <w:r>
        <w:rPr/>
        <w:t>The term of this Agreement shall commence as of the date hereof and shall continue until the expiration or termination of the WPSA (the "</w:t>
      </w:r>
      <w:r>
        <w:rPr>
          <w:u w:val="single"/>
        </w:rPr>
        <w:t>Term</w:t>
      </w:r>
      <w:r>
        <w:rPr/>
        <w:t>").  This Agreement shall terminate prior to the commencement of the Transactions Term (as defined below) if the WPSA is terminated pursuant to Section 10.4 thereof, without liability of either Party to the other to the extent provided in such section.</w:t>
      </w:r>
    </w:p>
    <w:p>
      <w:pPr>
        <w:pStyle w:val="Heading1"/>
        <w:keepLines w:val="false"/>
        <w:ind w:hanging="0" w:start="0"/>
        <w:rPr/>
      </w:pPr>
      <w:r>
        <w:rPr/>
        <w:t>Definitions</w:t>
      </w:r>
      <w:r>
        <w:rPr>
          <w:u w:val="none"/>
        </w:rPr>
        <w:t>.</w:t>
      </w:r>
    </w:p>
    <w:p>
      <w:pPr>
        <w:pStyle w:val="bodytextind"/>
        <w:rPr/>
      </w:pPr>
      <w:r>
        <w:rPr/>
        <w:t>Capitalized terms not otherwise defined herein shall have the meanings ascribed to them in the WPSA.  For purposes of this Agreement, the following terms shall have the following meanings:</w:t>
      </w:r>
    </w:p>
    <w:p>
      <w:pPr>
        <w:pStyle w:val="bodytextind"/>
        <w:rPr/>
      </w:pPr>
      <w:r>
        <w:rPr/>
        <w:t>"</w:t>
      </w:r>
      <w:r>
        <w:rPr>
          <w:u w:val="single"/>
        </w:rPr>
        <w:t>Applicable Price</w:t>
      </w:r>
      <w:r>
        <w:rPr/>
        <w:t xml:space="preserve">" means, with respect to Deemed Purchases by EPMI pursuant to Paragraph </w:t>
      </w:r>
      <w:r>
        <w:rPr/>
        <w:fldChar w:fldCharType="begin"/>
      </w:r>
      <w:r>
        <w:rPr/>
        <w:instrText xml:space="preserve"> REF _Ref493517013 \w \w \h </w:instrText>
      </w:r>
      <w:r>
        <w:rPr/>
        <w:fldChar w:fldCharType="separate"/>
      </w:r>
      <w:r>
        <w:rPr/>
        <w:t>3</w:t>
      </w:r>
      <w:r>
        <w:rPr/>
        <w:fldChar w:fldCharType="end"/>
      </w:r>
      <w:r>
        <w:rPr/>
        <w:t xml:space="preserve">, the price set forth in </w:t>
      </w:r>
      <w:r>
        <w:rPr>
          <w:u w:val="single"/>
        </w:rPr>
        <w:t>Exhibit A</w:t>
      </w:r>
      <w:r>
        <w:rPr/>
        <w:t xml:space="preserve"> hereto for the appropriate period during which such Deemed Purchases shall be made, and with respect to any Deemed Sales by EPMI pursuant to Paragraph </w:t>
      </w:r>
      <w:r>
        <w:rPr/>
        <w:fldChar w:fldCharType="begin"/>
      </w:r>
      <w:r>
        <w:rPr/>
        <w:instrText xml:space="preserve"> REF _Ref493517064 \w \w \h </w:instrText>
      </w:r>
      <w:r>
        <w:rPr/>
        <w:fldChar w:fldCharType="separate"/>
      </w:r>
      <w:r>
        <w:rPr/>
        <w:t>4</w:t>
      </w:r>
      <w:r>
        <w:rPr/>
        <w:fldChar w:fldCharType="end"/>
      </w:r>
      <w:r>
        <w:rPr/>
        <w:t xml:space="preserve"> below, [$35/MWh].</w:t>
      </w:r>
      <w:r>
        <w:rPr>
          <w:b/>
        </w:rPr>
        <w:t xml:space="preserve"> </w:t>
      </w:r>
    </w:p>
    <w:p>
      <w:pPr>
        <w:pStyle w:val="bodytextind"/>
        <w:rPr/>
      </w:pPr>
      <w:r>
        <w:rPr/>
        <w:t>"</w:t>
      </w:r>
      <w:r>
        <w:rPr>
          <w:u w:val="single"/>
        </w:rPr>
        <w:t>Authorized Representative(s)</w:t>
      </w:r>
      <w:r>
        <w:rPr/>
        <w:t>" means, with respect to each Party, those individuals designated in writing by such Party as primary points of contact with respect to the Deemed Purchases and Deemed Sales contemplated by this Agreement.</w:t>
      </w:r>
    </w:p>
    <w:p>
      <w:pPr>
        <w:pStyle w:val="bodytextind"/>
        <w:rPr/>
      </w:pPr>
      <w:r>
        <w:rPr/>
        <w:t>"</w:t>
      </w:r>
      <w:r>
        <w:rPr>
          <w:u w:val="single"/>
        </w:rPr>
        <w:t>Average NEPOOL Clearing Price</w:t>
      </w:r>
      <w:r>
        <w:rPr/>
        <w:t>" means, for each hour during the Transactions Term, the average price for real-time purchases of Energy expressed in $/MWh, as published by ISO-NE pursuant to the NEPOOL Rules, provided that such price shall under no circumstances be a negative number (</w:t>
      </w:r>
      <w:r>
        <w:rPr>
          <w:u w:val="single"/>
        </w:rPr>
        <w:t>i.e.</w:t>
      </w:r>
      <w:r>
        <w:rPr/>
        <w:t>, below $0).</w:t>
      </w:r>
    </w:p>
    <w:p>
      <w:pPr>
        <w:pStyle w:val="bodytextind"/>
        <w:rPr/>
      </w:pPr>
      <w:r>
        <w:rPr/>
        <w:t>"</w:t>
      </w:r>
      <w:r>
        <w:rPr>
          <w:u w:val="single"/>
        </w:rPr>
        <w:t>EPT</w:t>
      </w:r>
      <w:r>
        <w:rPr/>
        <w:t>" means the prevailing time, from time to time, in the eastern time zone of the United States.</w:t>
      </w:r>
    </w:p>
    <w:p>
      <w:pPr>
        <w:pStyle w:val="bodytextind"/>
        <w:rPr/>
      </w:pPr>
      <w:r>
        <w:rPr/>
        <w:t>"</w:t>
      </w:r>
      <w:r>
        <w:rPr>
          <w:u w:val="single"/>
        </w:rPr>
        <w:t>Holidays</w:t>
      </w:r>
      <w:r>
        <w:rPr/>
        <w:t>" means New Year's Day, Memorial Day, Independence Day, Labor Day, Thanksgiving Day and Christmas Day, or such additional days as determined in accordance with the rules of the North American Electric Reliability Council, or any successor thereto.</w:t>
      </w:r>
    </w:p>
    <w:p>
      <w:pPr>
        <w:pStyle w:val="bodytextind"/>
        <w:rPr/>
      </w:pPr>
      <w:r>
        <w:rPr/>
        <w:t>"</w:t>
      </w:r>
      <w:r>
        <w:rPr>
          <w:u w:val="single"/>
        </w:rPr>
        <w:t>Mandatory Deemed Purchase Energy Volumes</w:t>
      </w:r>
      <w:r>
        <w:rPr/>
        <w:t>" means, with respect to each On Peak hour and each Off Peak hour of the Transactions Term, those MWs of Energy as set forth below:</w:t>
      </w:r>
    </w:p>
    <w:tbl>
      <w:tblPr>
        <w:tblW w:w="8838" w:type="dxa"/>
        <w:jc w:val="start"/>
        <w:tblInd w:w="0" w:type="dxa"/>
        <w:tblLayout w:type="fixed"/>
        <w:tblCellMar>
          <w:top w:w="0" w:type="dxa"/>
          <w:start w:w="108" w:type="dxa"/>
          <w:bottom w:w="0" w:type="dxa"/>
          <w:end w:w="108" w:type="dxa"/>
        </w:tblCellMar>
      </w:tblPr>
      <w:tblGrid>
        <w:gridCol w:w="2946"/>
        <w:gridCol w:w="2946"/>
        <w:gridCol w:w="2946"/>
      </w:tblGrid>
      <w:tr>
        <w:trPr/>
        <w:tc>
          <w:tcPr>
            <w:tcW w:w="2946" w:type="dxa"/>
            <w:tcBorders>
              <w:top w:val="single" w:sz="4" w:space="0" w:color="000000"/>
              <w:start w:val="single" w:sz="4" w:space="0" w:color="000000"/>
              <w:bottom w:val="single" w:sz="4" w:space="0" w:color="000000"/>
              <w:end w:val="single" w:sz="4" w:space="0" w:color="000000"/>
            </w:tcBorders>
          </w:tcPr>
          <w:p>
            <w:pPr>
              <w:pStyle w:val="bodytextind"/>
              <w:snapToGrid w:val="false"/>
              <w:spacing w:before="0" w:after="240"/>
              <w:ind w:hanging="0" w:end="0"/>
              <w:rPr>
                <w:b/>
              </w:rPr>
            </w:pPr>
            <w:r>
              <w:rPr>
                <w:b/>
              </w:rPr>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b/>
              </w:rPr>
            </w:pPr>
            <w:r>
              <w:rPr>
                <w:b/>
              </w:rPr>
              <w:t>On Peak Hours</w:t>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b/>
              </w:rPr>
            </w:pPr>
            <w:r>
              <w:rPr>
                <w:b/>
              </w:rPr>
              <w:t>Off Peak Hours</w:t>
            </w:r>
          </w:p>
        </w:tc>
      </w:tr>
      <w:tr>
        <w:trPr/>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end"/>
              <w:rPr>
                <w:b/>
              </w:rPr>
            </w:pPr>
            <w:r>
              <w:rPr>
                <w:b/>
              </w:rPr>
              <w:t>2001</w:t>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pPr>
            <w:r>
              <w:rPr/>
              <w:t>[      ] MWs</w:t>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pPr>
            <w:r>
              <w:rPr/>
              <w:t>[      ] MWs</w:t>
            </w:r>
          </w:p>
        </w:tc>
      </w:tr>
      <w:tr>
        <w:trPr/>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end"/>
              <w:rPr>
                <w:b/>
              </w:rPr>
            </w:pPr>
            <w:r>
              <w:rPr>
                <w:b/>
              </w:rPr>
              <w:t>2002</w:t>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pPr>
            <w:r>
              <w:rPr/>
              <w:t>[      ] MWs</w:t>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pPr>
            <w:r>
              <w:rPr/>
              <w:t>[      ] MWs</w:t>
            </w:r>
          </w:p>
        </w:tc>
      </w:tr>
      <w:tr>
        <w:trPr/>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end"/>
              <w:rPr>
                <w:b/>
              </w:rPr>
            </w:pPr>
            <w:r>
              <w:rPr>
                <w:b/>
              </w:rPr>
              <w:t>2003</w:t>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pPr>
            <w:r>
              <w:rPr/>
              <w:t>[      ] MWs</w:t>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pPr>
            <w:r>
              <w:rPr/>
              <w:t>[      ] MWs</w:t>
            </w:r>
          </w:p>
        </w:tc>
      </w:tr>
      <w:tr>
        <w:trPr/>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end"/>
              <w:rPr>
                <w:b/>
              </w:rPr>
            </w:pPr>
            <w:r>
              <w:rPr>
                <w:b/>
              </w:rPr>
              <w:t>2004</w:t>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pPr>
            <w:r>
              <w:rPr/>
              <w:t>[      ] MWs</w:t>
            </w:r>
          </w:p>
        </w:tc>
        <w:tc>
          <w:tcPr>
            <w:tcW w:w="2946" w:type="dxa"/>
            <w:tcBorders>
              <w:top w:val="single" w:sz="4" w:space="0" w:color="000000"/>
              <w:start w:val="single" w:sz="4" w:space="0" w:color="000000"/>
              <w:bottom w:val="single" w:sz="4" w:space="0" w:color="000000"/>
              <w:end w:val="single" w:sz="4" w:space="0" w:color="000000"/>
            </w:tcBorders>
          </w:tcPr>
          <w:p>
            <w:pPr>
              <w:pStyle w:val="bodytextind"/>
              <w:spacing w:before="0" w:after="240"/>
              <w:ind w:hanging="0" w:end="0"/>
              <w:jc w:val="center"/>
              <w:rPr/>
            </w:pPr>
            <w:r>
              <w:rPr/>
              <w:t>[      ] MWs</w:t>
            </w:r>
          </w:p>
        </w:tc>
      </w:tr>
    </w:tbl>
    <w:p>
      <w:pPr>
        <w:pStyle w:val="bodytextind"/>
        <w:spacing w:before="0" w:after="0"/>
        <w:rPr/>
      </w:pPr>
      <w:r>
        <w:rPr/>
      </w:r>
    </w:p>
    <w:p>
      <w:pPr>
        <w:pStyle w:val="bodytextind"/>
        <w:rPr>
          <w:b/>
        </w:rPr>
      </w:pPr>
      <w:r>
        <w:rPr/>
        <w:t>"</w:t>
      </w:r>
      <w:r>
        <w:rPr>
          <w:u w:val="single"/>
        </w:rPr>
        <w:t>Market Clearing Price</w:t>
      </w:r>
      <w:r>
        <w:rPr/>
        <w:t xml:space="preserve">" means, for each hour during the Transactions Term, the Average NEPOOL Clearing Price; </w:t>
      </w:r>
      <w:r>
        <w:rPr>
          <w:u w:val="single"/>
        </w:rPr>
        <w:t>provided</w:t>
      </w:r>
      <w:r>
        <w:rPr/>
        <w:t>, that in the event the Congestion Management System, including a locational based pricing system, or other similar system is implemented by NEPOOL, the Market Clearing Price shall mean the Reference Price.</w:t>
      </w:r>
    </w:p>
    <w:p>
      <w:pPr>
        <w:pStyle w:val="bodytextind"/>
        <w:rPr/>
      </w:pPr>
      <w:r>
        <w:rPr/>
        <w:t>"</w:t>
      </w:r>
      <w:r>
        <w:rPr>
          <w:u w:val="single"/>
        </w:rPr>
        <w:t>Off Peak</w:t>
      </w:r>
      <w:r>
        <w:rPr/>
        <w:t>" means any hour which is not an On Peak hour.</w:t>
      </w:r>
    </w:p>
    <w:p>
      <w:pPr>
        <w:pStyle w:val="bodytextind"/>
        <w:rPr/>
      </w:pPr>
      <w:r>
        <w:rPr/>
        <w:t>"</w:t>
      </w:r>
      <w:r>
        <w:rPr>
          <w:u w:val="single"/>
        </w:rPr>
        <w:t>On Peak</w:t>
      </w:r>
      <w:r>
        <w:rPr/>
        <w:t>" means any hour ending 0800 through hour ending 2300 Eastern Prevailing Time on any Monday through Friday except Holidays.</w:t>
      </w:r>
    </w:p>
    <w:p>
      <w:pPr>
        <w:pStyle w:val="bodytextind"/>
        <w:rPr/>
      </w:pPr>
      <w:r>
        <w:rPr/>
        <w:t>"</w:t>
      </w:r>
      <w:r>
        <w:rPr>
          <w:u w:val="single"/>
        </w:rPr>
        <w:t>Transactions Term</w:t>
      </w:r>
      <w:r>
        <w:rPr/>
        <w:t>" means the period commencing simultaneously with the commencement of the Delivery Term under the WPSA, and continuing through the hour ending at 2400 EPT on the last day of the Term.</w:t>
      </w:r>
    </w:p>
    <w:p>
      <w:pPr>
        <w:pStyle w:val="Heading1"/>
        <w:keepLines w:val="false"/>
        <w:ind w:hanging="0" w:start="0"/>
        <w:rPr/>
      </w:pPr>
      <w:bookmarkStart w:id="1" w:name="_Ref493517013"/>
      <w:r>
        <w:rPr/>
        <w:t>Deemed Purchases</w:t>
      </w:r>
      <w:r>
        <w:rPr>
          <w:u w:val="none"/>
        </w:rPr>
        <w:t>.</w:t>
      </w:r>
      <w:bookmarkEnd w:id="1"/>
    </w:p>
    <w:p>
      <w:pPr>
        <w:pStyle w:val="Heading2"/>
        <w:ind w:hanging="0" w:start="0"/>
        <w:rPr/>
      </w:pPr>
      <w:r>
        <w:rPr/>
        <w:t>Upon commencement of the Transactions Term, EPMI shall be deemed, solely from a financial standpoint, to have purchased (a "</w:t>
      </w:r>
      <w:r>
        <w:rPr>
          <w:u w:val="single"/>
        </w:rPr>
        <w:t>Deemed Purchase</w:t>
      </w:r>
      <w:r>
        <w:rPr/>
        <w:t xml:space="preserve">") from BECo one hundred percent (100%) of the Mandatory Deemed Purchase Energy Volumes for the applicable hour of each day during the Transactions Term.  Such Deemed Purchases shall be made at the Applicable Price.  </w:t>
      </w:r>
    </w:p>
    <w:p>
      <w:pPr>
        <w:pStyle w:val="Heading2"/>
        <w:keepLines w:val="false"/>
        <w:ind w:hanging="0" w:start="0"/>
        <w:rPr/>
      </w:pPr>
      <w:r>
        <w:rPr/>
        <w:t xml:space="preserve">EPMI and BECo shall be required to give effect to the Deemed Purchases by EPMI of the Mandatory Deemed Purchase Energy Volumes regardless of whether BECo in fact has available to it during the Term any physical Power and/or Energy, it being agreed and acknowledged that the Parties only shall be required to financially settle their obligations pursuant to this Paragraph </w:t>
      </w:r>
      <w:r>
        <w:rPr/>
        <w:fldChar w:fldCharType="begin"/>
      </w:r>
      <w:r>
        <w:rPr/>
        <w:instrText xml:space="preserve"> REF _Ref493517013 \r \r \h </w:instrText>
      </w:r>
      <w:r>
        <w:rPr/>
        <w:fldChar w:fldCharType="separate"/>
      </w:r>
      <w:r>
        <w:rPr/>
        <w:t>3</w:t>
      </w:r>
      <w:r>
        <w:rPr/>
        <w:fldChar w:fldCharType="end"/>
      </w:r>
      <w:r>
        <w:rPr/>
        <w:t xml:space="preserve"> (and otherwise with respect to this Agreement) in accordance with the payment provisions set forth in Paragraph </w:t>
      </w:r>
      <w:r>
        <w:rPr/>
        <w:fldChar w:fldCharType="begin"/>
      </w:r>
      <w:r>
        <w:rPr/>
        <w:instrText xml:space="preserve"> REF _Ref493520664 \r \r \h </w:instrText>
      </w:r>
      <w:r>
        <w:rPr/>
        <w:fldChar w:fldCharType="separate"/>
      </w:r>
      <w:r>
        <w:rPr/>
        <w:t>5</w:t>
      </w:r>
      <w:r>
        <w:rPr/>
        <w:fldChar w:fldCharType="end"/>
      </w:r>
      <w:r>
        <w:rPr/>
        <w:t>.  This Agreement shall in no way encumber or restrict BECo's right or ability to contract with and sell to third parties other than EPMI any actual Power and/or Energy that they may have or that may be available to them.</w:t>
      </w:r>
    </w:p>
    <w:p>
      <w:pPr>
        <w:pStyle w:val="Heading1"/>
        <w:keepLines w:val="false"/>
        <w:ind w:hanging="0" w:start="0"/>
        <w:rPr/>
      </w:pPr>
      <w:bookmarkStart w:id="2" w:name="_Ref493517064"/>
      <w:r>
        <w:rPr/>
        <w:t>EPMI Put Right; Deemed Sales</w:t>
      </w:r>
      <w:r>
        <w:rPr>
          <w:u w:val="none"/>
        </w:rPr>
        <w:t>.</w:t>
      </w:r>
      <w:bookmarkEnd w:id="2"/>
    </w:p>
    <w:p>
      <w:pPr>
        <w:pStyle w:val="Heading2"/>
        <w:keepLines w:val="false"/>
        <w:ind w:hanging="0" w:start="0"/>
        <w:rPr/>
      </w:pPr>
      <w:r>
        <w:rPr/>
        <w:t>EPMI shall have the right, but not the obligation ("</w:t>
      </w:r>
      <w:r>
        <w:rPr>
          <w:u w:val="single"/>
        </w:rPr>
        <w:t>EPMI Put Right</w:t>
      </w:r>
      <w:r>
        <w:rPr/>
        <w:t>"), with respect to each hour of each day during the Transactions Term, to elect to be deemed, solely from a financial standpoint, to have sold to BECo during any hour of the Transactions Term, all or any portion of up to fifty percent (50%) of the Mandatory Deemed Purchase Energy Volumes ("</w:t>
      </w:r>
      <w:r>
        <w:rPr>
          <w:u w:val="single"/>
        </w:rPr>
        <w:t>Deemed Sale Volumes</w:t>
      </w:r>
      <w:r>
        <w:rPr/>
        <w:t>" and a "</w:t>
      </w:r>
      <w:r>
        <w:rPr>
          <w:u w:val="single"/>
        </w:rPr>
        <w:t>Deemed Sale,</w:t>
      </w:r>
      <w:r>
        <w:rPr/>
        <w:t>" respectively) for such hour.  Such Deemed Sales shall be made at the Applicable Price.</w:t>
      </w:r>
    </w:p>
    <w:p>
      <w:pPr>
        <w:pStyle w:val="Heading2"/>
        <w:keepLines w:val="false"/>
        <w:ind w:hanging="0" w:start="0"/>
        <w:rPr/>
      </w:pPr>
      <w:bookmarkStart w:id="3" w:name="_Ref494203827"/>
      <w:r>
        <w:rPr/>
        <w:t>To exercise the EPMI Put Right, EPMI shall, at least one (1) hour prior to the hour for which the Deemed Sale shall commence, furnish BECo with notice, either (i) by facsimile or by such other written method mutually agreed to by the Parties or (ii) via a recorded telephone conversation between the Authorized Representatives of the Parties, of the Deemed Sale Energy Volumes for such hour (or consecutive hours) for which it elects to effect a Deemed Sale ("</w:t>
      </w:r>
      <w:r>
        <w:rPr>
          <w:u w:val="single"/>
        </w:rPr>
        <w:t>EPMI Put Notice</w:t>
      </w:r>
      <w:r>
        <w:rPr/>
        <w:t>").</w:t>
      </w:r>
      <w:bookmarkEnd w:id="3"/>
    </w:p>
    <w:p>
      <w:pPr>
        <w:pStyle w:val="Heading2"/>
        <w:keepLines w:val="false"/>
        <w:ind w:hanging="0" w:start="0"/>
        <w:rPr/>
      </w:pPr>
      <w:r>
        <w:rPr/>
        <w:t xml:space="preserve">Failure by EPMI to timely submit an EPMI Put Notice to BECo with respect to any hour during the Transactions Term pursuant to Paragraph </w:t>
      </w:r>
      <w:r>
        <w:rPr/>
        <w:fldChar w:fldCharType="begin"/>
      </w:r>
      <w:r>
        <w:rPr/>
        <w:instrText xml:space="preserve"> REF _Ref494203827 \p \h </w:instrText>
      </w:r>
      <w:r>
        <w:rPr/>
        <w:fldChar w:fldCharType="separate"/>
      </w:r>
      <w:r>
        <w:rPr/>
        <w:t>above</w:t>
      </w:r>
      <w:r>
        <w:rPr/>
        <w:fldChar w:fldCharType="end"/>
      </w:r>
      <w:r>
        <w:rPr/>
        <w:t xml:space="preserve"> shall be treated as a waiver by EPMI of its EPMI Put Right with respect to such hour.</w:t>
      </w:r>
    </w:p>
    <w:p>
      <w:pPr>
        <w:pStyle w:val="Heading2"/>
        <w:keepLines w:val="false"/>
        <w:ind w:hanging="0" w:start="0"/>
        <w:rPr/>
      </w:pPr>
      <w:r>
        <w:rPr/>
        <w:t xml:space="preserve">EPMI and BECo shall be required to give effect to the Deemed Sales by EPMI of the Deemed Sale Energy Volumes regardless of whether EPMI in fact has available to it during the Term any physical Power and/or Energy, it being agreed and acknowledged that the Parties only shall be required to financially settle their obligations pursuant to this Paragraph </w:t>
      </w:r>
      <w:r>
        <w:rPr/>
        <w:fldChar w:fldCharType="begin"/>
      </w:r>
      <w:r>
        <w:rPr/>
        <w:instrText xml:space="preserve"> REF _Ref493517064 \w \w \h </w:instrText>
      </w:r>
      <w:r>
        <w:rPr/>
        <w:fldChar w:fldCharType="separate"/>
      </w:r>
      <w:r>
        <w:rPr/>
        <w:t>4</w:t>
      </w:r>
      <w:r>
        <w:rPr/>
        <w:fldChar w:fldCharType="end"/>
      </w:r>
      <w:r>
        <w:rPr/>
        <w:t xml:space="preserve"> (and otherwise with respect to this Agreement) in accordance with the payment provisions set forth in Paragraph </w:t>
      </w:r>
      <w:r>
        <w:rPr/>
        <w:fldChar w:fldCharType="begin"/>
      </w:r>
      <w:r>
        <w:rPr/>
        <w:instrText xml:space="preserve"> REF _Ref493520664 \w \w \h </w:instrText>
      </w:r>
      <w:r>
        <w:rPr/>
        <w:fldChar w:fldCharType="separate"/>
      </w:r>
      <w:r>
        <w:rPr/>
        <w:t>5</w:t>
      </w:r>
      <w:r>
        <w:rPr/>
        <w:fldChar w:fldCharType="end"/>
      </w:r>
      <w:r>
        <w:rPr/>
        <w:t>.  This Agreement shall in no way encumber or restrict EPMI's right or ability to contract with and sell to third parties other than BECo any actual Power and/or Energy that it may have or that may be available to it.</w:t>
      </w:r>
    </w:p>
    <w:p>
      <w:pPr>
        <w:pStyle w:val="Heading1"/>
        <w:keepLines w:val="false"/>
        <w:ind w:hanging="0" w:start="0"/>
        <w:rPr/>
      </w:pPr>
      <w:bookmarkStart w:id="4" w:name="_Ref493520664"/>
      <w:r>
        <w:rPr/>
        <w:t>Billing and Payments</w:t>
      </w:r>
      <w:r>
        <w:rPr>
          <w:u w:val="none"/>
        </w:rPr>
        <w:t>.</w:t>
      </w:r>
      <w:bookmarkEnd w:id="4"/>
    </w:p>
    <w:p>
      <w:pPr>
        <w:pStyle w:val="Heading2"/>
        <w:keepLines w:val="false"/>
        <w:ind w:hanging="0" w:start="0"/>
        <w:rPr/>
      </w:pPr>
      <w:r>
        <w:rPr/>
        <w:t xml:space="preserve">Within nine (9) days following the end of each month during the Transactions Term, BECo shall furnish to EPMI an invoice setting forth for such month: </w:t>
      </w:r>
    </w:p>
    <w:p>
      <w:pPr>
        <w:pStyle w:val="Heading3"/>
        <w:keepNext w:val="false"/>
        <w:ind w:hanging="0" w:start="0"/>
        <w:rPr/>
      </w:pPr>
      <w:r>
        <w:rPr/>
        <w:t xml:space="preserve">the daily Deemed Purchases by EPMI by hour in MWhs, the Market Clearing Price during each hour of such day and the Applicable Price for each such hour.  Subject to subsection (c) below, if for such month, the cumulative sum of the product of (A) the hourly quantities of Deemed Purchases multiplied by (B) the Applicable Price for such hour </w:t>
      </w:r>
      <w:r>
        <w:rPr>
          <w:u w:val="single"/>
        </w:rPr>
        <w:t>minus</w:t>
      </w:r>
      <w:r>
        <w:rPr/>
        <w:t xml:space="preserve"> the Market Clearing Price for such hour, is positive, EPMI shall pay to BECo an amount equal to such positive sum.  If such sum is negative, BECo shall pay to EPMI an amount equal to such negative sum; and</w:t>
      </w:r>
    </w:p>
    <w:p>
      <w:pPr>
        <w:pStyle w:val="Heading3"/>
        <w:keepNext w:val="false"/>
        <w:ind w:hanging="0" w:start="0"/>
        <w:rPr>
          <w:b/>
        </w:rPr>
      </w:pPr>
      <w:r>
        <w:rPr/>
        <w:t xml:space="preserve">the daily Deemed Sales by EPMI during such month by hour in MWhs, the Market Clearing Price for each such hour and the Applicable Price for each such hour.  Subject to subsection (c) below, BECo shall pay to EPMI the cumulative sum of the product of (A) the hourly quantities of Deemed Sales multiplied by (B) the positive difference, if any, of the Applicable Price for such hour </w:t>
      </w:r>
      <w:r>
        <w:rPr>
          <w:u w:val="single"/>
        </w:rPr>
        <w:t>minus</w:t>
      </w:r>
      <w:r>
        <w:rPr/>
        <w:t xml:space="preserve"> the Market Clearing Price for such hour.</w:t>
      </w:r>
    </w:p>
    <w:p>
      <w:pPr>
        <w:pStyle w:val="Heading2"/>
        <w:keepLines w:val="false"/>
        <w:ind w:hanging="0" w:start="0"/>
        <w:rPr/>
      </w:pPr>
      <w:bookmarkStart w:id="5" w:name="_Ref493583417"/>
      <w:r>
        <w:rPr/>
        <w:t xml:space="preserve">If at the time that the monthly invoices are issued as provided in subparagraph (a) the final Market Clearing Price figures for any hour of the applicable month are not available, the computations required by this Paragraph shall be based on estimates of the Market Clearing Price for such hour and such estimates shall be reconciled as soon as reasonably practicable. </w:t>
      </w:r>
      <w:bookmarkEnd w:id="5"/>
    </w:p>
    <w:p>
      <w:pPr>
        <w:pStyle w:val="Heading2"/>
        <w:keepLines w:val="false"/>
        <w:ind w:hanging="0" w:start="0"/>
        <w:rPr/>
      </w:pPr>
      <w:r>
        <w:rPr/>
        <w:t xml:space="preserve">Amounts payable by the Parties with respect to Deemed Purchases and Deemed Sales under this Agreement shall first be netted, and the resulting amount shall be reflected as a separate line item reflecting either a debit or a credit, as the case may be, on the monthly invoices provided by BECo pursuant to the WPSA.  </w:t>
      </w:r>
    </w:p>
    <w:p>
      <w:pPr>
        <w:pStyle w:val="Heading1"/>
        <w:keepLines w:val="false"/>
        <w:ind w:hanging="0" w:start="0"/>
        <w:rPr/>
      </w:pPr>
      <w:r>
        <w:rPr/>
        <w:t>Events of Default; Termination</w:t>
      </w:r>
      <w:r>
        <w:rPr>
          <w:u w:val="none"/>
        </w:rPr>
        <w:t>.</w:t>
      </w:r>
    </w:p>
    <w:p>
      <w:pPr>
        <w:pStyle w:val="Heading2"/>
        <w:keepLines w:val="false"/>
        <w:ind w:hanging="0" w:start="0"/>
        <w:rPr/>
      </w:pPr>
      <w:r>
        <w:rPr/>
        <w:t>An "Event of Default" under this Agreement shall mean any of the following events with respect to a Party (the "</w:t>
      </w:r>
      <w:r>
        <w:rPr>
          <w:u w:val="single"/>
        </w:rPr>
        <w:t>Defaulting Party</w:t>
      </w:r>
      <w:r>
        <w:rPr/>
        <w:t>"):</w:t>
      </w:r>
    </w:p>
    <w:p>
      <w:pPr>
        <w:pStyle w:val="Heading3"/>
        <w:keepNext w:val="false"/>
        <w:ind w:hanging="0" w:start="0"/>
        <w:rPr/>
      </w:pPr>
      <w:r>
        <w:rPr/>
        <w:t>the Defaulting Party shall fail to make when due any payment required by this Agreement if such failure is not remedied within three (3) Business Days after written notice of such failure is given by the other Party (the "</w:t>
      </w:r>
      <w:r>
        <w:rPr>
          <w:u w:val="single"/>
        </w:rPr>
        <w:t>Non-Defaulting Party</w:t>
      </w:r>
      <w:r>
        <w:rPr/>
        <w:t>");</w:t>
      </w:r>
    </w:p>
    <w:p>
      <w:pPr>
        <w:pStyle w:val="Heading3"/>
        <w:keepNext w:val="false"/>
        <w:ind w:hanging="0" w:start="0"/>
        <w:rPr/>
      </w:pPr>
      <w:r>
        <w:rPr/>
        <w:t>the Defaulting Party shall fail to comply with, observe or perform any covenant or obligation to be performed by it under this Agreement, if such failure is not remedied within ten (10) Business Days after written notice thereof is given by the Non-Defaulting Party, or any representation or warranty made by such Party herein shall be determined to be false or misleading in any material respect; or</w:t>
      </w:r>
    </w:p>
    <w:p>
      <w:pPr>
        <w:pStyle w:val="Heading3"/>
        <w:keepNext w:val="false"/>
        <w:ind w:hanging="0" w:start="0"/>
        <w:rPr/>
      </w:pPr>
      <w:r>
        <w:rPr/>
        <w:t>an "event of default" (however defined), taking into account any applicable grace and/or cure periods, in respect of the Defaulting Party has occurred and is continuing with respect to the WPSA.</w:t>
      </w:r>
    </w:p>
    <w:p>
      <w:pPr>
        <w:pStyle w:val="Heading2"/>
        <w:keepLines w:val="false"/>
        <w:ind w:hanging="0" w:start="0"/>
        <w:rPr/>
      </w:pPr>
      <w:r>
        <w:rPr/>
        <w:t>If an Event of Default occurs at any time during the Term, the Non-Defaulting Party may, for so long as the Event of Default is continuing, (i) establish a date (which date shall be between one (1) and twenty (20) Business Days after the Non-Defaulting Party delivers notice) (the "</w:t>
      </w:r>
      <w:r>
        <w:rPr>
          <w:u w:val="single"/>
        </w:rPr>
        <w:t>Early Termination Date</w:t>
      </w:r>
      <w:r>
        <w:rPr/>
        <w:t>") on which it shall terminate this Agreement and (ii) withhold any payments or other performance due in respect of this Agreement.  If an Early Termination Date has been designated, the Non-Defaulting Party shall calculate its Gains, Losses and Costs resulting from the termination of this Agreement into a single net amount (the "</w:t>
      </w:r>
      <w:r>
        <w:rPr>
          <w:u w:val="single"/>
        </w:rPr>
        <w:t>Termination Amount</w:t>
      </w:r>
      <w:r>
        <w:rPr/>
        <w:t xml:space="preserve">").  The Gains, Losses and Costs shall be calculated based upon the value of a replacement contract or contracts taking into account quotations from leading dealers in energy swap contracts and/or bona fide third party offers or, if not available, the value that the Non-Defaulting Party reasonably expects to be available in the market for such contract(s) as of the Early Termination Date.  It is expressly agreed that the Non-Defaulting Party shall not be required to enter into a replacement contract in order to determine the Termination Amount.  </w:t>
      </w:r>
    </w:p>
    <w:p>
      <w:pPr>
        <w:pStyle w:val="Heading2"/>
        <w:keepLines w:val="false"/>
        <w:ind w:hanging="0" w:start="0"/>
        <w:rPr/>
      </w:pPr>
      <w:r>
        <w:rPr/>
        <w:t xml:space="preserve">Within fifteen (15) Business Days of the Early Termination Date, the Non-Defaulting Party shall notify the Defaulting Party of the Termination Amount.  If the Termination Amount constitutes an aggregate loss to the Non-Defaulting Party, the Defaulting Party shall, within five (5) Business Days of receipt of such notice, pay the Termination Amount to the Non-Defaulting Party, which amount shall bear interest at the Interest Rate from the Early Termination Date until paid.  If the Termination Amount represents an aggregate gain to the Non-Defaulting Party, </w:t>
      </w:r>
      <w:r>
        <w:rPr>
          <w:b/>
        </w:rPr>
        <w:t>[</w:t>
      </w:r>
      <w:r>
        <w:rPr/>
        <w:t>the Non-Defaulting Party shall not owe or be required to pay the Termination Amount to the Defaulting Party</w:t>
      </w:r>
      <w:r>
        <w:rPr>
          <w:b/>
        </w:rPr>
        <w:t>]</w:t>
      </w:r>
      <w:r>
        <w:rPr/>
        <w:t xml:space="preserve">.  If the Defaulting Party disagrees with the calculation of the Termination Amount, the issue shall be resolved in accordance with Article 12 of the WPSA and the resulting Termination Amount, if any, shall be due and payable within three (3) Business Days after the award, together with interest at the Interest Rate from the Early Termination Date until paid.  </w:t>
      </w:r>
    </w:p>
    <w:p>
      <w:pPr>
        <w:pStyle w:val="Heading2"/>
        <w:keepLines w:val="false"/>
        <w:ind w:hanging="0" w:start="0"/>
        <w:rPr/>
      </w:pPr>
      <w:r>
        <w:rPr/>
        <w:t>If this Agreement is terminated pursuant to Section 10.2(b)(2) of the WPSA, the Termination Amount determined hereunder shall be aggregated with all of the Non-Defaulting Party's Gains, Losses and Costs resulting from the termination of this Agreement and the WPSA and taken into account in determining the Aggregate Termination Amount, which shall be determined pursuant to Section 10.2(b)(2)of the WPSA and payable pursuant to Section 10.2(c) thereof.</w:t>
      </w:r>
    </w:p>
    <w:p>
      <w:pPr>
        <w:pStyle w:val="Heading2"/>
        <w:keepLines w:val="false"/>
        <w:ind w:hanging="0" w:start="0"/>
        <w:rPr/>
      </w:pPr>
      <w:r>
        <w:rPr/>
        <w:t>If this Agreement is terminated pursuant to Section 10.4 of the WPSA, such termination shall be without liability of either Party to the other.</w:t>
      </w:r>
    </w:p>
    <w:p>
      <w:pPr>
        <w:pStyle w:val="Heading1"/>
        <w:keepLines w:val="false"/>
        <w:ind w:hanging="0" w:start="0"/>
        <w:rPr/>
      </w:pPr>
      <w:r>
        <w:rPr/>
        <w:t>Incorporation of Certain Provisions of the WPSA</w:t>
      </w:r>
      <w:r>
        <w:rPr>
          <w:u w:val="none"/>
        </w:rPr>
        <w:t>.</w:t>
      </w:r>
    </w:p>
    <w:p>
      <w:pPr>
        <w:pStyle w:val="bodytextind"/>
        <w:rPr/>
      </w:pPr>
      <w:r>
        <w:rPr/>
        <w:t>The following provisions of the WPSA are hereby incorporated into this Agreement by reference and are an integral part hereof and, for the purposes of this Agreement, all references to "Agreement" in such provisions shall be deemed to mean this Agreement:  Section 5.1 (Representations and Warranties of both Parties);  Article 9 (Assignment); Article 11 (Limitation of Damages and Liability); Article 12 (Resolution of Disputes); Article 13 (Confidentiality); Article 14 (Auditing of Accounts and Records); Article 15 (Parties Bound by Terms; Change in NEPOOL Rules);  Article 16 (Notices); Article 17 (Interpretation); and Article 18 (Miscellaneous).</w:t>
      </w:r>
    </w:p>
    <w:p>
      <w:pPr>
        <w:pStyle w:val="Heading1"/>
        <w:keepLines w:val="false"/>
        <w:ind w:hanging="0" w:start="0"/>
        <w:rPr/>
      </w:pPr>
      <w:r>
        <w:rPr/>
        <w:t>Trade Option Exemption; Eligible Swap Participant</w:t>
      </w:r>
      <w:r>
        <w:rPr>
          <w:u w:val="none"/>
        </w:rPr>
        <w:t>.</w:t>
      </w:r>
    </w:p>
    <w:p>
      <w:pPr>
        <w:pStyle w:val="Heading2"/>
        <w:keepLines w:val="false"/>
        <w:ind w:hanging="0" w:start="0"/>
        <w:rPr/>
      </w:pPr>
      <w:r>
        <w:rPr/>
        <w:t>Each Party represents and warrants to the other that (i) it is entering into this Agreement in conjunction with its line of business (including financial intermediation services) or the financing of its business, and (ii) it is a producer, processor, commercial user of, or merchant handler of, Energy or the products or byproducts thereof, and is entering into this Agreement solely for the purposes related to its business as such.</w:t>
      </w:r>
    </w:p>
    <w:p>
      <w:pPr>
        <w:pStyle w:val="Heading2"/>
        <w:keepLines w:val="false"/>
        <w:ind w:hanging="0" w:start="0"/>
        <w:rPr/>
      </w:pPr>
      <w:r>
        <w:rPr/>
        <w:t>Each Party represents and warrants to the other that it constitutes an "eligible swap participant," as such term is defined in Rule 35.1(b)(2) of the Commodities Futures Trading Commission, 17 C.F.R. Sec. 35.1(b)(2) (1993).</w:t>
      </w:r>
    </w:p>
    <w:p>
      <w:pPr>
        <w:pStyle w:val="Heading2"/>
        <w:keepLines w:val="false"/>
        <w:ind w:hanging="0" w:start="0"/>
        <w:rPr/>
      </w:pPr>
      <w:r>
        <w:rPr>
          <w:rFonts w:cs="CG Times" w:ascii="CG Times" w:hAnsi="CG Times"/>
        </w:rPr>
        <w:t>Each Party represents and warrants to the other that as of the date hereof it is not required by any applicable Law, as modified by the practice of any relevant governmental revenue authority, of any relevant jurisdiction to make any deduction or withholding for or on account of any Tax from any payment to be made by it to the other Party under this Agreement.</w:t>
      </w:r>
      <w:r>
        <w:br w:type="page"/>
      </w:r>
    </w:p>
    <w:p>
      <w:pPr>
        <w:pStyle w:val="bodytextind"/>
        <w:rPr/>
      </w:pPr>
      <w:r>
        <w:rPr/>
        <w:t>IN WITNESS WHEREOF, the Parties hereto have executed this Agreement as of the date first written above.</w:t>
      </w:r>
    </w:p>
    <w:p>
      <w:pPr>
        <w:pStyle w:val="bodytextind"/>
        <w:rPr/>
      </w:pPr>
      <w:r>
        <w:rPr/>
      </w:r>
    </w:p>
    <w:p>
      <w:pPr>
        <w:pStyle w:val="Signature"/>
        <w:spacing w:before="0" w:after="240"/>
        <w:ind w:start="0" w:end="0"/>
        <w:rPr/>
      </w:pPr>
      <w:r>
        <w:rPr/>
        <w:t>ENRON POWER MARKETING, INC.</w:t>
        <w:br/>
        <w:br/>
        <w:br/>
        <w:t>By:</w:t>
      </w:r>
      <w:r>
        <w:rPr>
          <w:u w:val="single"/>
        </w:rPr>
        <w:tab/>
        <w:tab/>
        <w:tab/>
        <w:tab/>
        <w:tab/>
        <w:tab/>
        <w:br/>
      </w:r>
      <w:r>
        <w:rPr/>
        <w:t>Name:</w:t>
      </w:r>
      <w:r>
        <w:rPr>
          <w:u w:val="single"/>
        </w:rPr>
        <w:tab/>
        <w:tab/>
        <w:tab/>
        <w:tab/>
        <w:tab/>
        <w:br/>
      </w:r>
      <w:r>
        <w:rPr/>
        <w:t>Title:</w:t>
      </w:r>
      <w:r>
        <w:rPr>
          <w:u w:val="single"/>
        </w:rPr>
        <w:tab/>
        <w:tab/>
        <w:tab/>
        <w:tab/>
        <w:tab/>
      </w:r>
    </w:p>
    <w:p>
      <w:pPr>
        <w:pStyle w:val="Signature"/>
        <w:spacing w:before="0" w:after="240"/>
        <w:ind w:start="0" w:end="0"/>
        <w:rPr>
          <w:u w:val="single"/>
        </w:rPr>
      </w:pPr>
      <w:r>
        <w:rPr>
          <w:u w:val="single"/>
        </w:rPr>
      </w:r>
    </w:p>
    <w:p>
      <w:pPr>
        <w:pStyle w:val="Signature"/>
        <w:spacing w:before="0" w:after="240"/>
        <w:ind w:start="0" w:end="0"/>
        <w:rPr/>
      </w:pPr>
      <w:r>
        <w:rPr/>
        <w:t>BOSTON EDISON COMPANY</w:t>
      </w:r>
    </w:p>
    <w:p>
      <w:pPr>
        <w:pStyle w:val="Signature"/>
        <w:spacing w:before="0" w:after="240"/>
        <w:ind w:start="0" w:end="0"/>
        <w:rPr/>
      </w:pPr>
      <w:r>
        <w:rPr/>
        <w:br/>
        <w:t>By:</w:t>
      </w:r>
      <w:r>
        <w:rPr>
          <w:u w:val="single"/>
        </w:rPr>
        <w:tab/>
        <w:tab/>
        <w:tab/>
        <w:tab/>
        <w:tab/>
        <w:tab/>
        <w:br/>
      </w:r>
      <w:r>
        <w:rPr/>
        <w:t>Name:</w:t>
      </w:r>
      <w:r>
        <w:rPr>
          <w:u w:val="single"/>
        </w:rPr>
        <w:tab/>
        <w:tab/>
        <w:tab/>
        <w:tab/>
        <w:tab/>
        <w:br/>
      </w:r>
      <w:r>
        <w:rPr/>
        <w:t>Title:</w:t>
      </w:r>
      <w:r>
        <w:rPr>
          <w:u w:val="single"/>
        </w:rPr>
        <w:tab/>
        <w:tab/>
        <w:tab/>
        <w:tab/>
        <w:tab/>
      </w:r>
      <w:r>
        <w:br w:type="page"/>
      </w:r>
    </w:p>
    <w:p>
      <w:pPr>
        <w:pStyle w:val="Normal"/>
        <w:jc w:val="end"/>
        <w:rPr>
          <w:b/>
        </w:rPr>
      </w:pPr>
      <w:r>
        <w:rPr>
          <w:b/>
        </w:rPr>
        <w:t>Exhibit A</w:t>
      </w:r>
    </w:p>
    <w:p>
      <w:pPr>
        <w:pStyle w:val="Normal"/>
        <w:rPr>
          <w:b/>
        </w:rPr>
      </w:pPr>
      <w:r>
        <w:rPr>
          <w:b/>
        </w:rPr>
      </w:r>
    </w:p>
    <w:p>
      <w:pPr>
        <w:pStyle w:val="Normal"/>
        <w:jc w:val="center"/>
        <w:rPr>
          <w:b/>
        </w:rPr>
      </w:pPr>
      <w:r>
        <w:rPr>
          <w:b/>
        </w:rPr>
        <w:t>Applicable Price for</w:t>
      </w:r>
    </w:p>
    <w:p>
      <w:pPr>
        <w:pStyle w:val="Normal"/>
        <w:jc w:val="center"/>
        <w:rPr>
          <w:b/>
        </w:rPr>
      </w:pPr>
      <w:r>
        <w:rPr>
          <w:b/>
        </w:rPr>
        <w:t>Deemed Purchases</w:t>
      </w:r>
    </w:p>
    <w:p>
      <w:pPr>
        <w:pStyle w:val="Normal"/>
        <w:jc w:val="center"/>
        <w:rPr>
          <w:b/>
        </w:rPr>
      </w:pPr>
      <w:r>
        <w:rPr>
          <w:b/>
        </w:rPr>
      </w:r>
    </w:p>
    <w:p>
      <w:pPr>
        <w:pStyle w:val="Normal"/>
        <w:jc w:val="center"/>
        <w:rPr/>
      </w:pPr>
      <w:r>
        <w:rPr/>
        <w:t>[Insert chart showing applicable prices]</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KEYWORDS </w:instrText>
    </w:r>
    <w:r>
      <w:rPr>
        <w:sz w:val="14"/>
      </w:rPr>
      <w:fldChar w:fldCharType="separate"/>
    </w:r>
    <w:r>
      <w:rPr>
        <w:sz w:val="14"/>
      </w:rPr>
      <w:t>NYC 350509.3 24571 00608 9/25/2000  2:58 PM</w:t>
    </w:r>
    <w:r>
      <w:rPr>
        <w:sz w:val="14"/>
      </w:rPr>
      <w:fldChar w:fldCharType="end"/>
    </w:r>
    <w:r>
      <w:rPr>
        <w:sz w:val="14"/>
      </w:rPr>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sz w:val="14"/>
      </w:rPr>
    </w:pPr>
    <w:r>
      <w:rPr>
        <w:sz w:val="14"/>
      </w:rPr>
      <w:fldChar w:fldCharType="begin"/>
    </w:r>
    <w:r>
      <w:rPr>
        <w:sz w:val="14"/>
      </w:rPr>
      <w:instrText xml:space="preserve"> KEYWORDS </w:instrText>
    </w:r>
    <w:r>
      <w:rPr>
        <w:sz w:val="14"/>
      </w:rPr>
      <w:fldChar w:fldCharType="separate"/>
    </w:r>
    <w:r>
      <w:rPr>
        <w:sz w:val="14"/>
      </w:rPr>
      <w:t>NYC 350509.3 24571 00608 9/25/2000  2:58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440"/>
        </w:tabs>
        <w:ind w:start="1440" w:hanging="720"/>
      </w:pPr>
      <w:rPr>
        <w:sz w:val="24"/>
        <w:i w:val="false"/>
        <w:u w:val="none"/>
        <w:b/>
        <w:rFonts w:ascii="Times New Roman" w:hAnsi="Times New Roman" w:cs="Times New Roman"/>
      </w:rPr>
    </w:lvl>
    <w:lvl w:ilvl="1">
      <w:start w:val="1"/>
      <w:pStyle w:val="Heading2"/>
      <w:numFmt w:val="lowerLetter"/>
      <w:lvlText w:val="(%2)"/>
      <w:lvlJc w:val="start"/>
      <w:pPr>
        <w:tabs>
          <w:tab w:val="num" w:pos="1800"/>
        </w:tabs>
        <w:ind w:start="0" w:firstLine="1440"/>
      </w:pPr>
      <w:rPr>
        <w:sz w:val="24"/>
        <w:i w:val="false"/>
        <w:b w:val="false"/>
        <w:rFonts w:ascii="Times New Roman" w:hAnsi="Times New Roman" w:cs="Times New Roman"/>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Lines/>
      <w:numPr>
        <w:ilvl w:val="0"/>
        <w:numId w:val="1"/>
      </w:numPr>
      <w:spacing w:before="0" w:after="240"/>
      <w:outlineLvl w:val="0"/>
    </w:pPr>
    <w:rPr>
      <w:b/>
      <w:kern w:val="2"/>
      <w:u w:val="single"/>
    </w:rPr>
  </w:style>
  <w:style w:type="paragraph" w:styleId="Heading2">
    <w:name w:val="heading 2"/>
    <w:basedOn w:val="Normal"/>
    <w:next w:val="BodyText"/>
    <w:qFormat/>
    <w:pPr>
      <w:keepLines/>
      <w:numPr>
        <w:ilvl w:val="1"/>
        <w:numId w:val="1"/>
      </w:numPr>
      <w:spacing w:before="0" w:after="240"/>
      <w:outlineLvl w:val="1"/>
    </w:pPr>
    <w:rPr/>
  </w:style>
  <w:style w:type="paragraph" w:styleId="Heading3">
    <w:name w:val="heading 3"/>
    <w:basedOn w:val="Normal"/>
    <w:next w:val="BodyText"/>
    <w:qFormat/>
    <w:pPr>
      <w:keepNext w:val="true"/>
      <w:numPr>
        <w:ilvl w:val="2"/>
        <w:numId w:val="1"/>
      </w:numPr>
      <w:spacing w:before="0" w:after="240"/>
      <w:outlineLvl w:val="2"/>
    </w:pPr>
    <w:rPr/>
  </w:style>
  <w:style w:type="character" w:styleId="WW8Num1z0">
    <w:name w:val="WW8Num1z0"/>
    <w:qFormat/>
    <w:rPr>
      <w:rFonts w:ascii="Times New Roman" w:hAnsi="Times New Roman" w:cs="Times New Roman"/>
      <w:b/>
      <w:i w:val="false"/>
      <w:sz w:val="24"/>
      <w:u w:val="none"/>
    </w:rPr>
  </w:style>
  <w:style w:type="character" w:styleId="WW8Num1z1">
    <w:name w:val="WW8Num1z1"/>
    <w:qFormat/>
    <w:rPr>
      <w:rFonts w:ascii="Times New Roman" w:hAnsi="Times New Roman" w:cs="Times New Roman"/>
      <w:b w:val="false"/>
      <w:i w:val="false"/>
      <w:sz w:val="24"/>
    </w:rPr>
  </w:style>
  <w:style w:type="character" w:styleId="WW8Num1z2">
    <w:name w:val="WW8Num1z2"/>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WW8Num3z1">
    <w:name w:val="WW8Num3z1"/>
    <w:qFormat/>
    <w:rPr>
      <w:rFonts w:ascii="Times New Roman" w:hAnsi="Times New Roman" w:cs="Times New Roman"/>
      <w:b w:val="false"/>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before="0" w:after="12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
    <w:name w:val="body text ind"/>
    <w:basedOn w:val="Normal"/>
    <w:qFormat/>
    <w:pPr>
      <w:spacing w:before="0" w:after="240"/>
      <w:ind w:firstLine="1440" w:start="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2000-09-26T16:01:00Z</dcterms:created>
  <dc:creator>IS Department</dc:creator>
  <dc:description/>
  <cp:keywords>NYC 350509.3 24571 00608 9/25/2000  2:58 PM</cp:keywords>
  <dc:language>en-CA</dc:language>
  <cp:lastModifiedBy>Michael Didriksen</cp:lastModifiedBy>
  <cp:lastPrinted>2000-09-22T17:36:00Z</cp:lastPrinted>
  <dcterms:modified xsi:type="dcterms:W3CDTF">2000-09-26T16:01:00Z</dcterms:modified>
  <cp:revision>4</cp:revision>
  <dc:subject/>
  <dc:title>Enron Power Marketing, Inc</dc:title>
</cp:coreProperties>
</file>