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lang w:val="en-GB"/>
        </w:rPr>
      </w:pPr>
      <w:r>
        <w:rPr>
          <w:spacing w:val="150"/>
          <w:lang w:val="en-GB"/>
        </w:rPr>
      </w:r>
    </w:p>
    <w:p>
      <w:pPr>
        <w:pStyle w:val="Heading"/>
        <w:spacing w:before="120" w:after="120"/>
        <w:rPr>
          <w:spacing w:val="150"/>
          <w:lang w:val="en-GB"/>
        </w:rPr>
      </w:pPr>
      <w:r>
        <w:rPr>
          <w:spacing w:val="150"/>
          <w:lang w:val="en-GB"/>
        </w:rPr>
        <w:t>Memorandum</w:t>
      </w:r>
    </w:p>
    <w:p>
      <w:pPr>
        <w:pStyle w:val="Normal"/>
        <w:numPr>
          <w:ilvl w:val="0"/>
          <w:numId w:val="0"/>
        </w:numPr>
        <w:outlineLvl w:val="0"/>
        <w:rPr>
          <w:spacing w:val="150"/>
          <w:lang w:val="en-GB"/>
        </w:rPr>
      </w:pPr>
      <w:r>
        <w:rPr>
          <w:spacing w:val="150"/>
          <w:lang w:val="en-GB"/>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numPr>
                <w:ilvl w:val="0"/>
                <w:numId w:val="0"/>
              </w:numPr>
              <w:spacing w:lineRule="auto" w:line="360"/>
              <w:outlineLvl w:val="0"/>
              <w:rPr>
                <w:b/>
                <w:caps/>
                <w:lang w:val="en-GB"/>
              </w:rPr>
            </w:pPr>
            <w:r>
              <w:rPr>
                <w:b/>
                <w:caps/>
                <w:lang w:val="en-GB"/>
              </w:rPr>
              <w:t>TO:</w:t>
            </w:r>
          </w:p>
        </w:tc>
        <w:tc>
          <w:tcPr>
            <w:tcW w:w="8028" w:type="dxa"/>
            <w:tcBorders/>
          </w:tcPr>
          <w:p>
            <w:pPr>
              <w:pStyle w:val="Header"/>
              <w:numPr>
                <w:ilvl w:val="0"/>
                <w:numId w:val="0"/>
              </w:numPr>
              <w:tabs>
                <w:tab w:val="clear" w:pos="4320"/>
                <w:tab w:val="clear" w:pos="8640"/>
              </w:tabs>
              <w:spacing w:lineRule="auto" w:line="360"/>
              <w:outlineLvl w:val="0"/>
              <w:rPr>
                <w:b/>
                <w:lang w:val="en-GB"/>
              </w:rPr>
            </w:pPr>
            <w:r>
              <w:rPr>
                <w:b/>
                <w:lang w:val="en-GB"/>
              </w:rPr>
              <w:t xml:space="preserve">ISDA Board of Directors </w:t>
            </w:r>
          </w:p>
        </w:tc>
      </w:tr>
      <w:tr>
        <w:trPr/>
        <w:tc>
          <w:tcPr>
            <w:tcW w:w="1440" w:type="dxa"/>
            <w:tcBorders/>
          </w:tcPr>
          <w:p>
            <w:pPr>
              <w:pStyle w:val="Normal"/>
              <w:numPr>
                <w:ilvl w:val="0"/>
                <w:numId w:val="0"/>
              </w:numPr>
              <w:spacing w:lineRule="auto" w:line="360"/>
              <w:outlineLvl w:val="0"/>
              <w:rPr>
                <w:b/>
                <w:caps/>
                <w:lang w:val="en-GB"/>
              </w:rPr>
            </w:pPr>
            <w:r>
              <w:rPr>
                <w:b/>
                <w:caps/>
                <w:lang w:val="en-GB"/>
              </w:rPr>
              <w:t>From:</w:t>
            </w:r>
          </w:p>
        </w:tc>
        <w:tc>
          <w:tcPr>
            <w:tcW w:w="8028" w:type="dxa"/>
            <w:tcBorders/>
          </w:tcPr>
          <w:p>
            <w:pPr>
              <w:pStyle w:val="Header"/>
              <w:numPr>
                <w:ilvl w:val="0"/>
                <w:numId w:val="0"/>
              </w:numPr>
              <w:tabs>
                <w:tab w:val="clear" w:pos="4320"/>
                <w:tab w:val="clear" w:pos="8640"/>
              </w:tabs>
              <w:spacing w:lineRule="auto" w:line="360"/>
              <w:outlineLvl w:val="0"/>
              <w:rPr>
                <w:lang w:val="en-GB"/>
              </w:rPr>
            </w:pPr>
            <w:r>
              <w:rPr>
                <w:lang w:val="en-GB"/>
              </w:rPr>
              <w:t>Ruth Ainslie</w:t>
            </w:r>
          </w:p>
        </w:tc>
      </w:tr>
      <w:tr>
        <w:trPr/>
        <w:tc>
          <w:tcPr>
            <w:tcW w:w="1440" w:type="dxa"/>
            <w:tcBorders/>
          </w:tcPr>
          <w:p>
            <w:pPr>
              <w:pStyle w:val="Normal"/>
              <w:numPr>
                <w:ilvl w:val="0"/>
                <w:numId w:val="0"/>
              </w:numPr>
              <w:spacing w:lineRule="auto" w:line="360"/>
              <w:outlineLvl w:val="0"/>
              <w:rPr>
                <w:b/>
                <w:caps/>
                <w:lang w:val="en-GB"/>
              </w:rPr>
            </w:pPr>
            <w:r>
              <w:rPr>
                <w:b/>
                <w:caps/>
                <w:lang w:val="en-GB"/>
              </w:rPr>
              <w:t>Date:</w:t>
            </w:r>
          </w:p>
        </w:tc>
        <w:tc>
          <w:tcPr>
            <w:tcW w:w="8028" w:type="dxa"/>
            <w:tcBorders/>
          </w:tcPr>
          <w:p>
            <w:pPr>
              <w:pStyle w:val="Normal"/>
              <w:numPr>
                <w:ilvl w:val="0"/>
                <w:numId w:val="0"/>
              </w:numPr>
              <w:spacing w:lineRule="auto" w:line="360"/>
              <w:outlineLvl w:val="0"/>
              <w:rPr>
                <w:lang w:val="en-GB"/>
              </w:rPr>
            </w:pPr>
            <w:r>
              <w:rPr>
                <w:lang w:val="en-GB"/>
              </w:rPr>
              <w:t>October 31, 2001</w:t>
            </w:r>
          </w:p>
        </w:tc>
      </w:tr>
      <w:tr>
        <w:trPr/>
        <w:tc>
          <w:tcPr>
            <w:tcW w:w="1440" w:type="dxa"/>
            <w:tcBorders/>
          </w:tcPr>
          <w:p>
            <w:pPr>
              <w:pStyle w:val="Normal"/>
              <w:numPr>
                <w:ilvl w:val="0"/>
                <w:numId w:val="0"/>
              </w:numPr>
              <w:spacing w:lineRule="auto" w:line="360"/>
              <w:outlineLvl w:val="0"/>
              <w:rPr>
                <w:b/>
                <w:caps/>
                <w:lang w:val="en-GB"/>
              </w:rPr>
            </w:pPr>
            <w:r>
              <w:rPr>
                <w:b/>
                <w:caps/>
                <w:lang w:val="en-GB"/>
              </w:rPr>
              <w:t>Re:</w:t>
            </w:r>
          </w:p>
        </w:tc>
        <w:tc>
          <w:tcPr>
            <w:tcW w:w="8028" w:type="dxa"/>
            <w:tcBorders/>
          </w:tcPr>
          <w:p>
            <w:pPr>
              <w:pStyle w:val="Normal"/>
              <w:numPr>
                <w:ilvl w:val="0"/>
                <w:numId w:val="0"/>
              </w:numPr>
              <w:spacing w:lineRule="auto" w:line="360"/>
              <w:outlineLvl w:val="0"/>
              <w:rPr>
                <w:b/>
                <w:szCs w:val="24"/>
                <w:lang w:val="en-GB"/>
              </w:rPr>
            </w:pPr>
            <w:r>
              <w:rPr>
                <w:b/>
                <w:szCs w:val="24"/>
              </w:rPr>
              <w:t>Proposed Media Efforts</w:t>
            </w:r>
          </w:p>
        </w:tc>
      </w:tr>
    </w:tbl>
    <w:p>
      <w:pPr>
        <w:pStyle w:val="Normal"/>
        <w:rPr>
          <w:sz w:val="22"/>
          <w:szCs w:val="22"/>
        </w:rPr>
      </w:pPr>
      <w:r>
        <w:rPr>
          <w:sz w:val="22"/>
          <w:szCs w:val="22"/>
        </w:rPr>
      </w:r>
    </w:p>
    <w:p>
      <w:pPr>
        <w:pStyle w:val="Normal"/>
        <w:rPr>
          <w:sz w:val="22"/>
          <w:szCs w:val="22"/>
        </w:rPr>
      </w:pPr>
      <w:r>
        <mc:AlternateContent>
          <mc:Choice Requires="wps">
            <w:drawing>
              <wp:anchor behindDoc="0" distT="0" distB="0" distL="114935" distR="114935" simplePos="0" locked="0" layoutInCell="0" allowOverlap="1" relativeHeight="3">
                <wp:simplePos x="0" y="0"/>
                <wp:positionH relativeFrom="column">
                  <wp:posOffset>-91440</wp:posOffset>
                </wp:positionH>
                <wp:positionV relativeFrom="paragraph">
                  <wp:posOffset>24130</wp:posOffset>
                </wp:positionV>
                <wp:extent cx="6035040" cy="0"/>
                <wp:effectExtent l="0" t="9525" r="0" b="9525"/>
                <wp:wrapTopAndBottom/>
                <wp:docPr id="1" name=""/>
                <a:graphic xmlns:a="http://schemas.openxmlformats.org/drawingml/2006/main">
                  <a:graphicData uri="http://schemas.microsoft.com/office/word/2010/wordprocessingShape">
                    <wps:wsp>
                      <wps:cNvSpPr/>
                      <wps:spPr>
                        <a:xfrm>
                          <a:off x="0" y="0"/>
                          <a:ext cx="60350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7.2pt,1.9pt" to="467.95pt,1.9pt" stroked="t" o:allowincell="f" style="position:absolute">
                <v:stroke color="black" weight="19080" joinstyle="miter" endcap="flat"/>
                <v:fill o:detectmouseclick="t" on="false"/>
                <w10:wrap type="topAndBottom"/>
              </v:line>
            </w:pict>
          </mc:Fallback>
        </mc:AlternateContent>
      </w:r>
      <w:r>
        <w:rPr>
          <w:sz w:val="22"/>
          <w:szCs w:val="22"/>
        </w:rPr>
        <w:t xml:space="preserve">The issue is consideration of significantly improving the value to ISDA members and to the industry of ISDA’s media relations and related marketing initiatives. </w:t>
      </w:r>
    </w:p>
    <w:p>
      <w:pPr>
        <w:pStyle w:val="Normal"/>
        <w:rPr>
          <w:sz w:val="22"/>
          <w:szCs w:val="22"/>
        </w:rPr>
      </w:pPr>
      <w:r>
        <w:rPr>
          <w:sz w:val="22"/>
          <w:szCs w:val="22"/>
        </w:rPr>
      </w:r>
    </w:p>
    <w:p>
      <w:pPr>
        <w:pStyle w:val="Normal"/>
        <w:rPr>
          <w:sz w:val="22"/>
          <w:szCs w:val="22"/>
        </w:rPr>
      </w:pPr>
      <w:r>
        <w:rPr>
          <w:sz w:val="22"/>
          <w:szCs w:val="22"/>
        </w:rPr>
        <w:t xml:space="preserve">ISDA has an opportunity to advance the Association’s mission and reputation and the industry we serve among our key constituencies through strategically developing measures that will enhance the scope, efficiencies and effectiveness of the media relations function. Media relations should have a greater bearing on the success of our documentation, risk management and public policy initiatives and related activities and publications.  </w:t>
      </w:r>
    </w:p>
    <w:p>
      <w:pPr>
        <w:pStyle w:val="Normal"/>
        <w:rPr>
          <w:sz w:val="22"/>
          <w:szCs w:val="22"/>
        </w:rPr>
      </w:pPr>
      <w:r>
        <w:rPr>
          <w:sz w:val="22"/>
          <w:szCs w:val="22"/>
        </w:rPr>
      </w:r>
    </w:p>
    <w:p>
      <w:pPr>
        <w:pStyle w:val="Normal"/>
        <w:rPr>
          <w:b/>
          <w:sz w:val="22"/>
          <w:szCs w:val="22"/>
          <w:u w:val="single"/>
        </w:rPr>
      </w:pPr>
      <w:r>
        <w:rPr>
          <w:b/>
          <w:sz w:val="22"/>
          <w:szCs w:val="22"/>
          <w:u w:val="single"/>
        </w:rPr>
        <w:t>Possible ISDA Approaches</w:t>
      </w:r>
    </w:p>
    <w:p>
      <w:pPr>
        <w:pStyle w:val="Normal"/>
        <w:rPr>
          <w:b/>
          <w:sz w:val="22"/>
          <w:szCs w:val="22"/>
          <w:u w:val="single"/>
        </w:rPr>
      </w:pPr>
      <w:r>
        <w:rPr>
          <w:b/>
          <w:sz w:val="22"/>
          <w:szCs w:val="22"/>
          <w:u w:val="single"/>
        </w:rPr>
      </w:r>
    </w:p>
    <w:p>
      <w:pPr>
        <w:pStyle w:val="Normal"/>
        <w:rPr>
          <w:sz w:val="22"/>
          <w:szCs w:val="22"/>
        </w:rPr>
      </w:pPr>
      <w:r>
        <w:rPr>
          <w:sz w:val="22"/>
          <w:szCs w:val="22"/>
        </w:rPr>
        <w:t>ISDA could elect one or a combination of several approaches to the Media Relations and related efforts.  Cost considerations will need to be assessed on the basis of the actions agreed.</w:t>
      </w:r>
    </w:p>
    <w:p>
      <w:pPr>
        <w:pStyle w:val="Normal"/>
        <w:rPr>
          <w:sz w:val="22"/>
          <w:szCs w:val="22"/>
        </w:rPr>
      </w:pPr>
      <w:r>
        <w:rPr>
          <w:sz w:val="22"/>
          <w:szCs w:val="22"/>
        </w:rPr>
      </w:r>
    </w:p>
    <w:p>
      <w:pPr>
        <w:pStyle w:val="Normal"/>
        <w:rPr>
          <w:b/>
          <w:i/>
          <w:i/>
          <w:sz w:val="22"/>
          <w:szCs w:val="22"/>
        </w:rPr>
      </w:pPr>
      <w:r>
        <w:rPr>
          <w:b/>
          <w:i/>
          <w:sz w:val="22"/>
          <w:szCs w:val="22"/>
        </w:rPr>
        <w:t>1. Overall Approach to Media Relations</w:t>
      </w:r>
    </w:p>
    <w:p>
      <w:pPr>
        <w:pStyle w:val="Normal"/>
        <w:ind w:firstLine="720" w:end="0"/>
        <w:rPr>
          <w:sz w:val="22"/>
          <w:szCs w:val="22"/>
        </w:rPr>
      </w:pPr>
      <w:r>
        <w:rPr>
          <w:sz w:val="22"/>
          <w:szCs w:val="22"/>
        </w:rPr>
        <w:t xml:space="preserve">a.   Enhance public image of the Association </w:t>
      </w:r>
    </w:p>
    <w:p>
      <w:pPr>
        <w:pStyle w:val="Normal"/>
        <w:ind w:firstLine="720" w:end="0"/>
        <w:rPr>
          <w:sz w:val="22"/>
          <w:szCs w:val="22"/>
        </w:rPr>
      </w:pPr>
      <w:r>
        <w:rPr>
          <w:sz w:val="22"/>
          <w:szCs w:val="22"/>
        </w:rPr>
        <w:t>b.   Add marketing/public relations component to the Associations activities</w:t>
      </w:r>
    </w:p>
    <w:p>
      <w:pPr>
        <w:pStyle w:val="Normal"/>
        <w:rPr/>
      </w:pPr>
      <w:r>
        <w:rPr>
          <w:sz w:val="22"/>
          <w:szCs w:val="22"/>
        </w:rPr>
        <w:tab/>
        <w:t xml:space="preserve">c.   Bring greater focus to </w:t>
      </w:r>
      <w:r>
        <w:rPr>
          <w:i/>
          <w:sz w:val="22"/>
          <w:szCs w:val="22"/>
        </w:rPr>
        <w:t>Advancing international public understanding of the business</w:t>
      </w:r>
    </w:p>
    <w:p>
      <w:pPr>
        <w:pStyle w:val="Normal"/>
        <w:numPr>
          <w:ilvl w:val="0"/>
          <w:numId w:val="2"/>
        </w:numPr>
        <w:rPr>
          <w:sz w:val="22"/>
          <w:szCs w:val="22"/>
        </w:rPr>
      </w:pPr>
      <w:r>
        <w:rPr>
          <w:sz w:val="22"/>
          <w:szCs w:val="22"/>
        </w:rPr>
        <w:t>Surveys</w:t>
      </w:r>
    </w:p>
    <w:p>
      <w:pPr>
        <w:pStyle w:val="Normal"/>
        <w:numPr>
          <w:ilvl w:val="0"/>
          <w:numId w:val="2"/>
        </w:numPr>
        <w:rPr>
          <w:sz w:val="22"/>
          <w:szCs w:val="22"/>
        </w:rPr>
      </w:pPr>
      <w:r>
        <w:rPr>
          <w:sz w:val="22"/>
          <w:szCs w:val="22"/>
        </w:rPr>
        <w:t>Research resources</w:t>
      </w:r>
    </w:p>
    <w:p>
      <w:pPr>
        <w:pStyle w:val="Normal"/>
        <w:rPr>
          <w:b/>
          <w:i/>
          <w:i/>
          <w:sz w:val="22"/>
          <w:szCs w:val="22"/>
        </w:rPr>
      </w:pPr>
      <w:r>
        <w:rPr>
          <w:b/>
          <w:i/>
          <w:sz w:val="22"/>
          <w:szCs w:val="22"/>
        </w:rPr>
      </w:r>
    </w:p>
    <w:p>
      <w:pPr>
        <w:pStyle w:val="Normal"/>
        <w:rPr>
          <w:b/>
          <w:i/>
          <w:i/>
          <w:sz w:val="22"/>
          <w:szCs w:val="22"/>
        </w:rPr>
      </w:pPr>
      <w:r>
        <w:rPr>
          <w:b/>
          <w:i/>
          <w:sz w:val="22"/>
          <w:szCs w:val="22"/>
        </w:rPr>
        <w:t>2.  External focus: Develop a strategic program</w:t>
      </w:r>
    </w:p>
    <w:p>
      <w:pPr>
        <w:pStyle w:val="Normal"/>
        <w:rPr>
          <w:b/>
          <w:i/>
          <w:i/>
          <w:sz w:val="22"/>
          <w:szCs w:val="22"/>
        </w:rPr>
      </w:pPr>
      <w:r>
        <w:rPr>
          <w:b/>
          <w:i/>
          <w:sz w:val="22"/>
          <w:szCs w:val="22"/>
        </w:rPr>
      </w:r>
    </w:p>
    <w:p>
      <w:pPr>
        <w:pStyle w:val="Normal"/>
        <w:rPr>
          <w:b/>
          <w:i/>
          <w:i/>
          <w:sz w:val="22"/>
          <w:szCs w:val="22"/>
        </w:rPr>
      </w:pPr>
      <w:r>
        <w:rPr>
          <w:b/>
          <w:i/>
          <w:sz w:val="22"/>
          <w:szCs w:val="22"/>
        </w:rPr>
        <w:t>3.  Enhance the Website – Internet (including Members Only) and Intranet</w:t>
      </w:r>
    </w:p>
    <w:p>
      <w:pPr>
        <w:pStyle w:val="Normal"/>
        <w:rPr>
          <w:b/>
          <w:i/>
          <w:i/>
          <w:sz w:val="22"/>
          <w:szCs w:val="22"/>
        </w:rPr>
      </w:pPr>
      <w:r>
        <w:rPr>
          <w:b/>
          <w:i/>
          <w:sz w:val="22"/>
          <w:szCs w:val="22"/>
        </w:rPr>
      </w:r>
    </w:p>
    <w:p>
      <w:pPr>
        <w:pStyle w:val="Normal"/>
        <w:rPr>
          <w:b/>
          <w:i/>
          <w:i/>
          <w:sz w:val="22"/>
          <w:szCs w:val="22"/>
        </w:rPr>
      </w:pPr>
      <w:r>
        <w:rPr>
          <w:b/>
          <w:i/>
          <w:sz w:val="22"/>
          <w:szCs w:val="22"/>
        </w:rPr>
        <w:t>4.  Coordinate Media Relations activities with membership and conference efforts</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eastAsia="en-CA"/>
      </w:rPr>
    </w:pPr>
    <w:r>
      <w:rPr>
        <w:caps/>
        <w:sz w:val="20"/>
        <w:lang w:val="en-CA" w:eastAsia="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2"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2001-11-13T14:25:00Z</dcterms:created>
  <dc:creator>Ruth Ainslie</dc:creator>
  <dc:description/>
  <dc:language>en-CA</dc:language>
  <cp:lastModifiedBy>CYNTHIA</cp:lastModifiedBy>
  <cp:lastPrinted>2001-11-12T17:38:00Z</cp:lastPrinted>
  <dcterms:modified xsi:type="dcterms:W3CDTF">2001-11-13T14:25:00Z</dcterms:modified>
  <cp:revision>2</cp:revision>
  <dc:subject/>
  <dc:title>MEMORANDUM</dc:title>
</cp:coreProperties>
</file>