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480"/>
        <w:ind w:hanging="0" w:start="0"/>
        <w:jc w:val="center"/>
        <w:rPr>
          <w:color w:val="FF0000"/>
          <w:sz w:val="56"/>
        </w:rPr>
      </w:pPr>
      <w:r>
        <w:rPr>
          <w:color w:val="FF0000"/>
          <w:sz w:val="56"/>
        </w:rPr>
      </w:r>
    </w:p>
    <w:p>
      <w:pPr>
        <w:pStyle w:val="Heading1"/>
        <w:spacing w:lineRule="auto" w:line="480"/>
        <w:ind w:hanging="0" w:start="0"/>
        <w:jc w:val="center"/>
        <w:rPr>
          <w:color w:val="FF0000"/>
          <w:sz w:val="56"/>
        </w:rPr>
      </w:pPr>
      <w:r>
        <w:rPr>
          <w:color w:val="FF0000"/>
          <w:sz w:val="56"/>
        </w:rPr>
      </w:r>
    </w:p>
    <w:p>
      <w:pPr>
        <w:pStyle w:val="Heading1"/>
        <w:spacing w:lineRule="auto" w:line="480"/>
        <w:ind w:hanging="0" w:start="0"/>
        <w:jc w:val="center"/>
        <w:rPr>
          <w:color w:val="FF0000"/>
          <w:sz w:val="56"/>
        </w:rPr>
      </w:pPr>
      <w:r>
        <w:rPr>
          <w:color w:val="FF0000"/>
          <w:sz w:val="56"/>
        </w:rPr>
        <w:t>WEATHER DERIVATIVES</w:t>
      </w:r>
    </w:p>
    <w:p>
      <w:pPr>
        <w:pStyle w:val="Normal"/>
        <w:spacing w:lineRule="auto" w:line="480"/>
        <w:jc w:val="center"/>
        <w:rPr>
          <w:color w:val="FF00FF"/>
          <w:sz w:val="40"/>
        </w:rPr>
      </w:pPr>
      <w:r>
        <w:rPr>
          <w:color w:val="FF00FF"/>
          <w:sz w:val="40"/>
        </w:rPr>
        <w:t>“</w:t>
      </w:r>
      <w:r>
        <w:rPr>
          <w:color w:val="FF00FF"/>
          <w:sz w:val="40"/>
        </w:rPr>
        <w:t>A NEW FINANCIAL HEDGING TOOL”</w:t>
      </w:r>
    </w:p>
    <w:p>
      <w:pPr>
        <w:pStyle w:val="Normal"/>
        <w:jc w:val="center"/>
        <w:rPr>
          <w:color w:val="FF00FF"/>
          <w:sz w:val="28"/>
        </w:rPr>
      </w:pPr>
      <w:r>
        <w:rPr>
          <w:color w:val="FF00FF"/>
          <w:sz w:val="28"/>
        </w:rPr>
      </w:r>
    </w:p>
    <w:p>
      <w:pPr>
        <w:pStyle w:val="Normal"/>
        <w:jc w:val="center"/>
        <w:rPr>
          <w:color w:val="00FFFF"/>
          <w:sz w:val="28"/>
        </w:rPr>
      </w:pPr>
      <w:r>
        <w:rPr>
          <w:color w:val="00FFFF"/>
          <w:sz w:val="28"/>
        </w:rPr>
      </w:r>
    </w:p>
    <w:p>
      <w:pPr>
        <w:pStyle w:val="Normal"/>
        <w:jc w:val="center"/>
        <w:rPr>
          <w:color w:val="00FFFF"/>
        </w:rPr>
      </w:pPr>
      <w:r>
        <w:rPr>
          <w:color w:val="00FFFF"/>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r>
        <w:br w:type="page"/>
      </w:r>
    </w:p>
    <w:p>
      <w:pPr>
        <w:pStyle w:val="Heading"/>
        <w:rPr>
          <w:sz w:val="28"/>
        </w:rPr>
      </w:pPr>
      <w:r>
        <w:rPr>
          <w:sz w:val="28"/>
        </w:rPr>
      </w:r>
    </w:p>
    <w:p>
      <w:pPr>
        <w:pStyle w:val="Subtitle"/>
        <w:spacing w:lineRule="auto" w:line="360"/>
        <w:rPr>
          <w:sz w:val="24"/>
        </w:rPr>
      </w:pPr>
      <w:r>
        <w:rPr>
          <w:sz w:val="24"/>
        </w:rPr>
        <w:t>INTRODUCTION</w:t>
      </w:r>
    </w:p>
    <w:p>
      <w:pPr>
        <w:pStyle w:val="Normal"/>
        <w:spacing w:lineRule="auto" w:line="360"/>
        <w:rPr>
          <w:sz w:val="24"/>
        </w:rPr>
      </w:pPr>
      <w:r>
        <w:rPr>
          <w:sz w:val="24"/>
        </w:rPr>
      </w:r>
    </w:p>
    <w:p>
      <w:pPr>
        <w:pStyle w:val="Normal"/>
        <w:spacing w:lineRule="auto" w:line="360"/>
        <w:rPr/>
      </w:pPr>
      <w:r>
        <w:rPr>
          <w:sz w:val="24"/>
        </w:rPr>
        <w:t>Weather derivatives have gained popularity over the last three years among natural gas commodity buyers as a financial tool to manage demand risk associated with weather.  These derivatives, which became valuable during the El Nino winter of 1997-98, are used to hedge</w:t>
      </w:r>
      <w:r>
        <w:rPr>
          <w:rStyle w:val="FootnoteCharacters"/>
          <w:rStyle w:val="FootnoteReference"/>
          <w:sz w:val="24"/>
        </w:rPr>
        <w:footnoteReference w:id="2"/>
      </w:r>
      <w:r>
        <w:rPr>
          <w:sz w:val="24"/>
        </w:rPr>
        <w:t xml:space="preserve"> weather risk.  The threat of revenue loss due to an unusually mild winter led gas utilities to shield their businesses from erratic weather phenomena.  That is, consistently, warmer-than-normal weather negatively impacted utility earnings.  </w:t>
      </w:r>
    </w:p>
    <w:p>
      <w:pPr>
        <w:pStyle w:val="Normal"/>
        <w:spacing w:lineRule="auto" w:line="360"/>
        <w:rPr>
          <w:sz w:val="24"/>
        </w:rPr>
      </w:pPr>
      <w:r>
        <w:rPr>
          <w:sz w:val="24"/>
        </w:rPr>
      </w:r>
    </w:p>
    <w:p>
      <w:pPr>
        <w:pStyle w:val="Normal"/>
        <w:spacing w:lineRule="auto" w:line="360"/>
        <w:rPr>
          <w:sz w:val="24"/>
        </w:rPr>
      </w:pPr>
      <w:r>
        <w:rPr>
          <w:sz w:val="24"/>
        </w:rPr>
        <w:t xml:space="preserve">Weather derivatives are evaluated against weather variables such as temperature, rainfall, wind, etc.  This paper focuses on temperature.  </w:t>
      </w:r>
    </w:p>
    <w:p>
      <w:pPr>
        <w:pStyle w:val="Normal"/>
        <w:spacing w:lineRule="auto" w:line="360"/>
        <w:rPr>
          <w:sz w:val="24"/>
        </w:rPr>
      </w:pPr>
      <w:r>
        <w:rPr>
          <w:sz w:val="24"/>
        </w:rPr>
      </w:r>
    </w:p>
    <w:p>
      <w:pPr>
        <w:pStyle w:val="Normal"/>
        <w:spacing w:lineRule="auto" w:line="360"/>
        <w:rPr/>
      </w:pPr>
      <w:r>
        <w:rPr>
          <w:sz w:val="24"/>
        </w:rPr>
        <w:t>Initially offered in over-the-counter (OTC)</w:t>
      </w:r>
      <w:r>
        <w:rPr>
          <w:rStyle w:val="FootnoteCharacters"/>
          <w:rStyle w:val="FootnoteReference"/>
          <w:sz w:val="24"/>
        </w:rPr>
        <w:footnoteReference w:id="3"/>
      </w:r>
      <w:r>
        <w:rPr>
          <w:sz w:val="24"/>
        </w:rPr>
        <w:t xml:space="preserve"> market by large energy marketers</w:t>
      </w:r>
      <w:r>
        <w:rPr>
          <w:rStyle w:val="FootnoteCharacters"/>
          <w:rStyle w:val="FootnoteReference"/>
          <w:sz w:val="24"/>
        </w:rPr>
        <w:footnoteReference w:id="4"/>
      </w:r>
      <w:r>
        <w:rPr>
          <w:sz w:val="24"/>
        </w:rPr>
        <w:t xml:space="preserve"> such as Koch Industries (Koch), Enron Corp. (Enron), and Aquila Energy (Aquila), weather derivatives (futures contracts and options on futures contracts) are now traded on the Chicago Mercantile Exchange (CME).  The Exchange trading has addressed credit concerns associated with an OTC market (satisfying the International Securities and Derivatives Association Master Swap Agreement), and has increased the size of the market.  The CME Clearing House acts as the buyer and seller for every contract and minimizes counterparty</w:t>
      </w:r>
      <w:r>
        <w:rPr>
          <w:rStyle w:val="FootnoteCharacters"/>
          <w:rStyle w:val="FootnoteReference"/>
          <w:sz w:val="24"/>
        </w:rPr>
        <w:footnoteReference w:id="5"/>
      </w:r>
      <w:r>
        <w:rPr>
          <w:sz w:val="24"/>
        </w:rPr>
        <w:t xml:space="preserve"> risk by daily marking-to-market</w:t>
      </w:r>
      <w:r>
        <w:rPr>
          <w:rStyle w:val="FootnoteCharacters"/>
          <w:rStyle w:val="FootnoteReference"/>
          <w:sz w:val="24"/>
        </w:rPr>
        <w:footnoteReference w:id="6"/>
      </w:r>
      <w:r>
        <w:rPr>
          <w:sz w:val="24"/>
        </w:rPr>
        <w:t xml:space="preserve">.  Marketers such as Enron and Koch continue to provide non-Exchange option strategies such as calls, puts, and other weather-based strategies.   </w:t>
      </w:r>
    </w:p>
    <w:p>
      <w:pPr>
        <w:pStyle w:val="Normal"/>
        <w:spacing w:lineRule="auto" w:line="360"/>
        <w:rPr>
          <w:sz w:val="24"/>
        </w:rPr>
      </w:pPr>
      <w:r>
        <w:rPr>
          <w:sz w:val="24"/>
        </w:rPr>
      </w:r>
    </w:p>
    <w:p>
      <w:pPr>
        <w:pStyle w:val="Normal"/>
        <w:spacing w:lineRule="auto" w:line="360"/>
        <w:rPr>
          <w:sz w:val="24"/>
        </w:rPr>
      </w:pPr>
      <w:r>
        <w:rPr>
          <w:sz w:val="24"/>
        </w:rPr>
        <w:t xml:space="preserve">This report begins with some background information about the natural gas industry.  It then describes risk management at BC Gas and the fundamentals of weather derivatives.  Hedging strategies (involving weather derivatives) that BC Gas Utility Limited (“BC Gas”) is considering to protect its corporate earnings from warmer-than-normal weather are then discussed.  Conclusions and recommendations for a plan of action and possible future studies are presented at the end of the report.  </w:t>
      </w:r>
    </w:p>
    <w:p>
      <w:pPr>
        <w:pStyle w:val="Normal"/>
        <w:spacing w:lineRule="auto" w:line="360"/>
        <w:rPr>
          <w:sz w:val="24"/>
        </w:rPr>
      </w:pPr>
      <w:r>
        <w:rPr>
          <w:sz w:val="24"/>
        </w:rPr>
      </w:r>
    </w:p>
    <w:p>
      <w:pPr>
        <w:pStyle w:val="Heading1"/>
        <w:spacing w:lineRule="auto" w:line="360"/>
        <w:ind w:hanging="0" w:start="0"/>
        <w:rPr>
          <w:sz w:val="24"/>
        </w:rPr>
      </w:pPr>
      <w:r>
        <w:rPr>
          <w:sz w:val="24"/>
        </w:rPr>
        <w:t>THE NATURAL GAS INDUSTRY</w:t>
      </w:r>
    </w:p>
    <w:p>
      <w:pPr>
        <w:pStyle w:val="Normal"/>
        <w:spacing w:lineRule="auto" w:line="360"/>
        <w:jc w:val="both"/>
        <w:rPr>
          <w:sz w:val="24"/>
        </w:rPr>
      </w:pPr>
      <w:r>
        <w:rPr>
          <w:sz w:val="24"/>
        </w:rPr>
      </w:r>
    </w:p>
    <w:p>
      <w:pPr>
        <w:pStyle w:val="Normal"/>
        <w:spacing w:lineRule="auto" w:line="360"/>
        <w:jc w:val="both"/>
        <w:rPr/>
      </w:pPr>
      <w:r>
        <w:rPr>
          <w:sz w:val="24"/>
        </w:rPr>
        <w:t>In 1998, Canada consumed 2.6 trillion cubic feet (Tcf) of natural gas, while the United States consumed 21.3 Tcf, for a total continental consumption of 23.9 Tcf, or about 22,000 PJ (Natural Resources Canada, 1999).  Of this volume, 5.1 Tcf was consumed by residential customers; 3.5 Tcf was consumed by commercial establishments; 11.8 Tcf was used by industry; and 3.4 Tcf was used by utilities to produce electricity.  If a representative average gas price across the continent of $3.00 Canadian per thousand cubic feet (Mcf) is assumed, the dollar value of the North American natural gas commodity market is estimated to be over $70 billion Canadian.  However, recent hikes in the natural gas commodity</w:t>
      </w:r>
      <w:r>
        <w:rPr>
          <w:rStyle w:val="FootnoteCharacters"/>
          <w:rStyle w:val="FootnoteReference"/>
          <w:sz w:val="24"/>
        </w:rPr>
        <w:footnoteReference w:id="7"/>
      </w:r>
      <w:r>
        <w:rPr>
          <w:sz w:val="24"/>
        </w:rPr>
        <w:t xml:space="preserve"> prices would push that figure to nearly $100 billion Canadian. </w:t>
      </w:r>
    </w:p>
    <w:p>
      <w:pPr>
        <w:pStyle w:val="Normal"/>
        <w:spacing w:lineRule="auto" w:line="360"/>
        <w:rPr>
          <w:sz w:val="24"/>
        </w:rPr>
      </w:pPr>
      <w:r>
        <w:rPr>
          <w:sz w:val="24"/>
        </w:rPr>
      </w:r>
    </w:p>
    <w:p>
      <w:pPr>
        <w:pStyle w:val="BodyText"/>
        <w:rPr/>
      </w:pPr>
      <w:r>
        <w:rPr/>
        <w:t>Significant changes have occurred in natural gas pricing since the Canadian natural gas industry was de-regulated in 1985.  Prior to de-regulation, a small number of pipeline companies</w:t>
      </w:r>
      <w:r>
        <w:rPr>
          <w:rStyle w:val="FootnoteCharacters"/>
          <w:rStyle w:val="FootnoteReference"/>
        </w:rPr>
        <w:footnoteReference w:id="8"/>
      </w:r>
      <w:r>
        <w:rPr/>
        <w:t xml:space="preserve"> purchased the majority of Canadian-produced gas under long term contracts.  This gas was then re-sold and delivered to local gas distribution</w:t>
      </w:r>
      <w:r>
        <w:rPr>
          <w:rStyle w:val="FootnoteCharacters"/>
          <w:rStyle w:val="FootnoteReference"/>
        </w:rPr>
        <w:footnoteReference w:id="9"/>
      </w:r>
      <w:r>
        <w:rPr/>
        <w:t xml:space="preserve"> companies (LDC’s)</w:t>
      </w:r>
      <w:r>
        <w:rPr>
          <w:rStyle w:val="FootnoteCharacters"/>
          <w:rStyle w:val="FootnoteReference"/>
        </w:rPr>
        <w:footnoteReference w:id="10"/>
      </w:r>
      <w:r>
        <w:rPr/>
        <w:t xml:space="preserve"> There is now a continental market for natural gas in North America with pipelines traversing across the US / Canada boundary.  The continentalization of this industry is another characterization of increasing free trade across North America.  The natural gas prices in the North American market vary between areas depending on transportation costs from gas wells to major trading points.  Therefore, a consumer in Chicago will essentially pay the same amount for natural gas (after currency conversion) as someone in the Greater Vancouver area, with the difference attributed to the deemed value of transportation.</w:t>
      </w:r>
    </w:p>
    <w:p>
      <w:pPr>
        <w:pStyle w:val="BodyText"/>
        <w:rPr/>
      </w:pPr>
      <w:r>
        <w:rPr/>
      </w:r>
    </w:p>
    <w:p>
      <w:pPr>
        <w:pStyle w:val="BodyText"/>
        <w:rPr/>
      </w:pPr>
      <w:r>
        <w:rPr/>
        <w:t>The North American natural gas market has given rise to a host of new buyers and sellers as well as agents</w:t>
      </w:r>
      <w:r>
        <w:rPr>
          <w:rStyle w:val="FootnoteCharacters"/>
          <w:rStyle w:val="FootnoteReference"/>
        </w:rPr>
        <w:footnoteReference w:id="11"/>
      </w:r>
      <w:r>
        <w:rPr/>
        <w:t>, brokers</w:t>
      </w:r>
      <w:r>
        <w:rPr>
          <w:rStyle w:val="FootnoteCharacters"/>
          <w:rStyle w:val="FootnoteReference"/>
        </w:rPr>
        <w:footnoteReference w:id="12"/>
      </w:r>
      <w:r>
        <w:rPr/>
        <w:t>, and marketers.  Hubs,</w:t>
      </w:r>
      <w:r>
        <w:rPr>
          <w:rStyle w:val="FootnoteCharacters"/>
          <w:rStyle w:val="FootnoteReference"/>
        </w:rPr>
        <w:footnoteReference w:id="13"/>
      </w:r>
      <w:r>
        <w:rPr/>
        <w:t xml:space="preserve"> or pricing points, throughout North America provide the foci for buying and selling activities.  The New York Mercantile Exchange (NYMEX)</w:t>
      </w:r>
      <w:r>
        <w:rPr>
          <w:rStyle w:val="FootnoteCharacters"/>
          <w:rStyle w:val="FootnoteReference"/>
        </w:rPr>
        <w:footnoteReference w:id="14"/>
      </w:r>
      <w:r>
        <w:rPr/>
        <w:t xml:space="preserve"> serves as the benchmark for all the pricing points in North America, although pricing hubs exist across North America. </w:t>
      </w:r>
    </w:p>
    <w:p>
      <w:pPr>
        <w:pStyle w:val="BodyText"/>
        <w:rPr/>
      </w:pPr>
      <w:r>
        <w:rPr/>
      </w:r>
    </w:p>
    <w:p>
      <w:pPr>
        <w:pStyle w:val="Normal"/>
        <w:spacing w:lineRule="auto" w:line="360"/>
        <w:rPr/>
      </w:pPr>
      <w:r>
        <w:rPr>
          <w:sz w:val="24"/>
        </w:rPr>
        <w:t>A host of factors affect natural gas market prices, as reflected in forward price curves</w:t>
      </w:r>
      <w:r>
        <w:rPr>
          <w:rStyle w:val="FootnoteCharacters"/>
          <w:rStyle w:val="FootnoteReference"/>
          <w:sz w:val="24"/>
        </w:rPr>
        <w:footnoteReference w:id="15"/>
      </w:r>
      <w:r>
        <w:rPr>
          <w:sz w:val="24"/>
        </w:rPr>
        <w:t>.  These include natural gas storage levels, weather, pipeline expansions, levels of drilling activity, energy industry strikes, pipeline failures, etc.  Two of these factors, storage levels and weather, significantly impact natural gas commodity prices. Natural gas storage levels are updated throughout the year as producers and consumers report their production and consumption levels.  Surplus natural gas (volume of natural gas produced minus volume of natural gas consumed) is stored during the months of April through October, the so-called injection (gas summer) months.  The months of November through March are referred to as withdrawal (gas winter) months, and represent the period of peak gas consumption.   The industry benchmark storage volume is approximately 3000 Bcf (billion cubic feet) for the end of summer each year.  This target level includes the consuming region east (with 55% of total storage capacity), consuming region west (with 15% capacity) and the producing region along the Gulf of Mexico (with 30% capacity).  Figure 1 illustrates the 5-year average storage levels for North America.  If start-of-winter storage levels are much below this target level, gas prices tend to rise; i.e. relatively low supply upon entering the annual high demand period results in upward commodity price pressure.</w:t>
      </w:r>
    </w:p>
    <w:p>
      <w:pPr>
        <w:pStyle w:val="BodyText2"/>
        <w:spacing w:lineRule="auto" w:line="360"/>
        <w:rPr>
          <w:sz w:val="24"/>
        </w:rPr>
      </w:pPr>
      <w:r>
        <w:rPr>
          <w:sz w:val="24"/>
        </w:rPr>
      </w:r>
    </w:p>
    <w:p>
      <w:pPr>
        <w:pStyle w:val="BodyText2"/>
        <w:spacing w:lineRule="auto" w:line="360"/>
        <w:rPr/>
      </w:pPr>
      <w:r>
        <w:rPr/>
        <w:t>The impact of weather is shown in natural gas price fluctuations on NYMEX.  Forecasts of heat waves, the development of tropical storms, hurricanes, or any other weather phenomena often result in rapid up and down price movements in the forward market.  For example, inclement weather deep in the Atlantic that the market fears could give rise to hurricanes in the Gulf of Mexico can potentially disrupt drilling and production facilities along the coast of the Gulf of Mexico, the region that produces roughly half of the continent’s natural gas.</w:t>
      </w:r>
    </w:p>
    <w:p>
      <w:pPr>
        <w:pStyle w:val="BodyText2"/>
        <w:spacing w:lineRule="auto" w:line="360"/>
        <w:rPr/>
      </w:pPr>
      <w:r>
        <w:rPr/>
      </w:r>
    </w:p>
    <w:p>
      <w:pPr>
        <w:pStyle w:val="BodyText2"/>
        <w:spacing w:lineRule="auto" w:line="360"/>
        <w:rPr/>
      </w:pPr>
      <w:r>
        <w:rPr/>
        <w:t xml:space="preserve">In addition to adding to gas commodity price volatility, weather also affects the volume of gas utilized during the year.  Colder-than-normal weather results in over-consumption of natural gas (higher heating loads), while warmer-than-normal weather leads to under-consumption.  Fear of under-consumption has prompted utilities to take action to prevent volume-related revenue losses.  </w:t>
      </w:r>
    </w:p>
    <w:p>
      <w:pPr>
        <w:pStyle w:val="BodyText"/>
        <w:rPr/>
      </w:pPr>
      <w:r>
        <w:rPr/>
      </w:r>
    </w:p>
    <w:p>
      <w:pPr>
        <w:pStyle w:val="Heading1"/>
        <w:spacing w:lineRule="auto" w:line="360"/>
        <w:ind w:hanging="0" w:start="0"/>
        <w:rPr>
          <w:sz w:val="24"/>
        </w:rPr>
      </w:pPr>
      <w:r>
        <w:rPr>
          <w:sz w:val="24"/>
        </w:rPr>
        <w:t xml:space="preserve">RISK MANAGEMENT AT BC GAS </w:t>
        <w:tab/>
      </w:r>
    </w:p>
    <w:p>
      <w:pPr>
        <w:pStyle w:val="Normal"/>
        <w:spacing w:lineRule="auto" w:line="360"/>
        <w:rPr>
          <w:sz w:val="24"/>
        </w:rPr>
      </w:pPr>
      <w:r>
        <w:rPr>
          <w:sz w:val="24"/>
        </w:rPr>
      </w:r>
    </w:p>
    <w:p>
      <w:pPr>
        <w:pStyle w:val="Normal"/>
        <w:spacing w:lineRule="auto" w:line="360"/>
        <w:rPr>
          <w:sz w:val="24"/>
        </w:rPr>
      </w:pPr>
      <w:r>
        <w:rPr>
          <w:sz w:val="24"/>
        </w:rPr>
        <w:t xml:space="preserve">In British Columbia, natural gas utilities are regulated by the B.C. Utilities Commission (BCUC).  BC Gas is primarily a distributor of gas, earning a regulated rate of return of 9.5% from its natural gas distribution services.  Its customers include residential, commercial, and industrial users located throughout the mainland of BC.  BC Gas spends well over a half a billion dollars annually on gas commodity and related costs to serve its 750,000 core market customers. BC Gas passes the commodity cost of gas directly onto its customers (a flow-through) and therefore neither profits nor suffers financially from commodity gas price fluctuations.   </w:t>
      </w:r>
    </w:p>
    <w:p>
      <w:pPr>
        <w:pStyle w:val="Normal"/>
        <w:spacing w:lineRule="auto" w:line="360"/>
        <w:rPr>
          <w:sz w:val="24"/>
        </w:rPr>
      </w:pPr>
      <w:r>
        <w:rPr>
          <w:sz w:val="24"/>
        </w:rPr>
      </w:r>
    </w:p>
    <w:p>
      <w:pPr>
        <w:pStyle w:val="Normal"/>
        <w:spacing w:lineRule="auto" w:line="360"/>
        <w:rPr>
          <w:sz w:val="24"/>
        </w:rPr>
      </w:pPr>
      <w:r>
        <w:rPr>
          <w:sz w:val="24"/>
        </w:rPr>
        <w:t>To hedge the price risk, BC Gas participates in the “forward market” by swapping between 10-25% of its monthly index-priced gas for fixed prices using OTC futures contracts.  The remainder of its natural gas portfolio is bought at monthly index-based prices (i.e., Sumas) on a daily basis.  BC Gas traders buy and sell natural gas, buying if it is short on the day to meet its customers’ demand, and selling if it is profitable to do so on days it has surplus gas.  However, BC Gas has a firm obligation to ensure sufficient storage to meet customers’ winter demand.</w:t>
      </w:r>
    </w:p>
    <w:p>
      <w:pPr>
        <w:pStyle w:val="Normal"/>
        <w:spacing w:lineRule="auto" w:line="360"/>
        <w:rPr>
          <w:sz w:val="24"/>
        </w:rPr>
      </w:pPr>
      <w:r>
        <w:rPr>
          <w:sz w:val="24"/>
        </w:rPr>
      </w:r>
    </w:p>
    <w:p>
      <w:pPr>
        <w:pStyle w:val="Normal"/>
        <w:spacing w:lineRule="auto" w:line="360"/>
        <w:rPr>
          <w:sz w:val="24"/>
        </w:rPr>
      </w:pPr>
      <w:r>
        <w:rPr>
          <w:sz w:val="24"/>
        </w:rPr>
        <w:t>Weather directly affects BC Gas’ margin. The margin depends on changes in revenue based on throughput (volume), changes in natural gas commodity costs, and the extent of weather-related changes.  Table 1 illustrates the fixed and variable costs incurred by BC Gas during 1999.  For example, in a warmer-than-normal year, most of BC Gas’ variable costs - including natural gas commodity costs - reduce in proportion to lower demand.  But the associated tolls and fees and any fixed costs would not adjust downward in the same manner, and would result in a deficit or under-recovery and loss of margin.  Since BC Gas’ monthly billing does not immediately take into account the changes in any variable costs, BC Gas has created a GCRA (Gas Cost Reconciliation Account) where any surpluses or deficits related to the gas commodity are stored.  That is, the GCRA is simply the difference between what customers pay in rates and BC Gas actual costs.  Figure 2 illustrates the GCRA model.  At the end of the year, an adjustment is made and the difference is amortized over an applicable period.  In other words, the GCRA account is used to account for fluctuations in the natural gas commodity cost faced by the utility’s customers.</w:t>
      </w:r>
    </w:p>
    <w:p>
      <w:pPr>
        <w:pStyle w:val="Normal"/>
        <w:spacing w:lineRule="auto" w:line="360"/>
        <w:rPr>
          <w:sz w:val="24"/>
        </w:rPr>
      </w:pPr>
      <w:r>
        <w:rPr>
          <w:sz w:val="24"/>
        </w:rPr>
      </w:r>
    </w:p>
    <w:p>
      <w:pPr>
        <w:pStyle w:val="Normal"/>
        <w:spacing w:lineRule="auto" w:line="360"/>
        <w:rPr>
          <w:sz w:val="24"/>
        </w:rPr>
      </w:pPr>
      <w:r>
        <w:rPr>
          <w:sz w:val="24"/>
        </w:rPr>
        <w:t xml:space="preserve">It is BC Gas’ goal to eliminate the current GCRA deficit through implementation of financial mechanism.  As well, it is considering offering its clients a fixed gas rate so that future price fluctuations and changes in weather do not affect clients’ gas bills.  BC Gas is aware of market research in the US, which indicates that more than 60% of the residential customers are interested in fixed rate bills (commonly referred to as WeatherProof Bills).  Of those, 75% say that the WeatherProof Bills will increase their loyalty to their utility companies (WeatherWise, 2000).  Customer loyalty will be increasingly important as natural gas industry deregulation continues.  BC Gas can achieve this goal by employing a number of financial tools to hedge the price and weather risk involving weather derivatives.  </w:t>
      </w:r>
    </w:p>
    <w:p>
      <w:pPr>
        <w:pStyle w:val="Normal"/>
        <w:spacing w:lineRule="auto" w:line="360"/>
        <w:rPr>
          <w:sz w:val="24"/>
        </w:rPr>
      </w:pPr>
      <w:r>
        <w:rPr>
          <w:sz w:val="24"/>
        </w:rPr>
      </w:r>
    </w:p>
    <w:p>
      <w:pPr>
        <w:pStyle w:val="Normal"/>
        <w:spacing w:lineRule="auto" w:line="360"/>
        <w:rPr>
          <w:sz w:val="24"/>
        </w:rPr>
      </w:pPr>
      <w:r>
        <w:rPr>
          <w:sz w:val="24"/>
        </w:rPr>
        <w:t xml:space="preserve">In addition to GCRA, BC Gas has established a Revenue Stabilization Adjustment Mechanism (RSAM).  RSAM is a deferral account used to adjust the annual “actual” energy use-per-customer against the BCUC approved “forecast” energy use-per-customer resulting from a number of factors including weather.  RSAM balances are either recovered through rates or credited to customers in subsequent years.  That is, in case of under-recovery, funds are drawn from the RSAM account and customers’ rates are adjusted in the following year to reflect the losses.  In case of over-recovery, excess revenues are put into the RSAM account and customers are compensated in their bills the following year.  RSAM’s objective is to stabilize BC Gas’ earnings against fluctuations in its customers’ gas usage.  </w:t>
      </w:r>
    </w:p>
    <w:p>
      <w:pPr>
        <w:pStyle w:val="Normal"/>
        <w:spacing w:lineRule="auto" w:line="360"/>
        <w:rPr>
          <w:sz w:val="24"/>
        </w:rPr>
      </w:pPr>
      <w:r>
        <w:rPr>
          <w:sz w:val="24"/>
        </w:rPr>
      </w:r>
    </w:p>
    <w:p>
      <w:pPr>
        <w:pStyle w:val="Normal"/>
        <w:spacing w:lineRule="auto" w:line="360"/>
        <w:rPr/>
      </w:pPr>
      <w:r>
        <w:rPr>
          <w:sz w:val="24"/>
        </w:rPr>
        <w:t>However, RSAM only covers a portion of the utility’s customer base, R1, R2, R3 and R23</w:t>
      </w:r>
      <w:r>
        <w:rPr>
          <w:rStyle w:val="FootnoteCharacters"/>
          <w:rStyle w:val="FootnoteReference"/>
          <w:sz w:val="24"/>
        </w:rPr>
        <w:footnoteReference w:id="16"/>
      </w:r>
      <w:r>
        <w:rPr>
          <w:sz w:val="24"/>
        </w:rPr>
        <w:t xml:space="preserve"> (discussed later). The difference in actual and forecast number of customers (i.e., new customer additions) is also not considered.  This paper focuses on the effects of weather (specifically temperature) assuming that RSAM will not be utilized in the future to compensate the utility for any volume-related losses.  The goal of the study is to determine whether BC Gas can use a strategy to protect corporate earnings, and to possibly create an upside for its shareholders, through the use of weather derivatives without affecting customers’ bills from year to year.</w:t>
      </w:r>
    </w:p>
    <w:p>
      <w:pPr>
        <w:pStyle w:val="Normal"/>
        <w:spacing w:lineRule="auto" w:line="360"/>
        <w:rPr>
          <w:sz w:val="24"/>
        </w:rPr>
      </w:pPr>
      <w:r>
        <w:rPr>
          <w:sz w:val="24"/>
        </w:rPr>
      </w:r>
    </w:p>
    <w:p>
      <w:pPr>
        <w:pStyle w:val="Normal"/>
        <w:spacing w:lineRule="auto" w:line="360"/>
        <w:rPr>
          <w:sz w:val="24"/>
        </w:rPr>
      </w:pPr>
      <w:r>
        <w:rPr>
          <w:sz w:val="24"/>
        </w:rPr>
      </w:r>
    </w:p>
    <w:p>
      <w:pPr>
        <w:pStyle w:val="Heading2"/>
        <w:spacing w:lineRule="auto" w:line="360"/>
        <w:ind w:hanging="0" w:start="0"/>
        <w:rPr/>
      </w:pPr>
      <w:r>
        <w:rPr/>
        <w:t>WEATHER DERIVATIVES</w:t>
      </w:r>
    </w:p>
    <w:p>
      <w:pPr>
        <w:pStyle w:val="Normal"/>
        <w:spacing w:lineRule="auto" w:line="360"/>
        <w:rPr/>
      </w:pPr>
      <w:r>
        <w:rPr/>
      </w:r>
    </w:p>
    <w:p>
      <w:pPr>
        <w:pStyle w:val="Normal"/>
        <w:spacing w:lineRule="auto" w:line="360"/>
        <w:rPr>
          <w:sz w:val="24"/>
        </w:rPr>
      </w:pPr>
      <w:r>
        <w:rPr>
          <w:sz w:val="24"/>
        </w:rPr>
        <w:t xml:space="preserve">There are generally three different ways that derivatives are used in today’s businesses.  First, derivatives exist that provide physical delivery of an underlying asset/commodity.  Second, derivatives exist that are tied to an underlying physical commodity through an index without physical delivery.  And third, derivatives exist that are tied to an index without any underlying physical commodity.  Weather derivatives fall under the third category, and are the subject of this report.  </w:t>
      </w:r>
    </w:p>
    <w:p>
      <w:pPr>
        <w:pStyle w:val="Normal"/>
        <w:spacing w:lineRule="auto" w:line="360"/>
        <w:rPr>
          <w:sz w:val="24"/>
        </w:rPr>
      </w:pPr>
      <w:r>
        <w:rPr>
          <w:sz w:val="24"/>
        </w:rPr>
      </w:r>
    </w:p>
    <w:p>
      <w:pPr>
        <w:pStyle w:val="Normal"/>
        <w:spacing w:lineRule="auto" w:line="360"/>
        <w:rPr>
          <w:sz w:val="24"/>
        </w:rPr>
      </w:pPr>
      <w:r>
        <w:rPr>
          <w:sz w:val="24"/>
        </w:rPr>
        <w:t xml:space="preserve">A weather derivative is a contract whose value is linked to weather variables, with temperature being by far the most common factor considered.  Temperature is the most commonly indexed weather variable because it is well-related to business risk and can be measured consistently and independently.  As well, it can not be easily manipulated.  In contrast, other weather data, such as snowpack, may not be as reliable or accurate.  </w:t>
      </w:r>
    </w:p>
    <w:p>
      <w:pPr>
        <w:pStyle w:val="Normal"/>
        <w:spacing w:lineRule="auto" w:line="360"/>
        <w:rPr>
          <w:sz w:val="24"/>
        </w:rPr>
      </w:pPr>
      <w:r>
        <w:rPr>
          <w:sz w:val="24"/>
        </w:rPr>
      </w:r>
    </w:p>
    <w:p>
      <w:pPr>
        <w:pStyle w:val="Normal"/>
        <w:spacing w:lineRule="auto" w:line="360"/>
        <w:rPr/>
      </w:pPr>
      <w:r>
        <w:rPr>
          <w:sz w:val="24"/>
        </w:rPr>
        <w:t>Weather derivatives are linked to heating degree days (HDD) and Cooling Degree Days (CDDs), both of which are aggregate measurements of temperature over an extended time period.  A degree day is a measure of how much a day’s average temperature</w:t>
      </w:r>
      <w:r>
        <w:rPr>
          <w:rStyle w:val="FootnoteCharacters"/>
          <w:rStyle w:val="FootnoteReference"/>
          <w:sz w:val="24"/>
        </w:rPr>
        <w:footnoteReference w:id="17"/>
      </w:r>
      <w:r>
        <w:rPr>
          <w:sz w:val="24"/>
        </w:rPr>
        <w:t xml:space="preserve"> deviates from 65 degrees Fahrenheit</w:t>
      </w:r>
      <w:r>
        <w:rPr>
          <w:rStyle w:val="FootnoteCharacters"/>
          <w:rStyle w:val="FootnoteReference"/>
          <w:sz w:val="24"/>
        </w:rPr>
        <w:footnoteReference w:id="18"/>
      </w:r>
      <w:r>
        <w:rPr>
          <w:sz w:val="24"/>
        </w:rPr>
        <w:t xml:space="preserve"> (18.33 degrees Celsius).  Daily HDD</w:t>
      </w:r>
      <w:r>
        <w:rPr>
          <w:rStyle w:val="FootnoteCharacters"/>
          <w:rStyle w:val="FootnoteReference"/>
          <w:sz w:val="24"/>
        </w:rPr>
        <w:footnoteReference w:id="19"/>
      </w:r>
      <w:r>
        <w:rPr>
          <w:sz w:val="24"/>
        </w:rPr>
        <w:t xml:space="preserve"> and CDD</w:t>
      </w:r>
      <w:r>
        <w:rPr>
          <w:rStyle w:val="FootnoteCharacters"/>
          <w:rStyle w:val="FootnoteReference"/>
          <w:sz w:val="24"/>
        </w:rPr>
        <w:footnoteReference w:id="20"/>
      </w:r>
      <w:r>
        <w:rPr>
          <w:sz w:val="24"/>
        </w:rPr>
        <w:t xml:space="preserve"> measure the coldness and the warmth, respectively of the daily temperature compared to a standard of 65 degrees Fahrenheit.  This report uses HDD to illustrate the effects of weather on BC Gas corporate earnings.  </w:t>
      </w:r>
    </w:p>
    <w:p>
      <w:pPr>
        <w:pStyle w:val="Normal"/>
        <w:spacing w:lineRule="auto" w:line="360"/>
        <w:rPr>
          <w:sz w:val="24"/>
        </w:rPr>
      </w:pPr>
      <w:r>
        <w:rPr>
          <w:sz w:val="24"/>
        </w:rPr>
      </w:r>
    </w:p>
    <w:p>
      <w:pPr>
        <w:pStyle w:val="Normal"/>
        <w:spacing w:lineRule="auto" w:line="360"/>
        <w:rPr/>
      </w:pPr>
      <w:r>
        <w:rPr>
          <w:sz w:val="24"/>
        </w:rPr>
        <w:t>Exchange-traded and OTC weather contracts exist.  The Exchange-traded contracts include HDD forward contracts</w:t>
      </w:r>
      <w:r>
        <w:rPr>
          <w:rStyle w:val="FootnoteCharacters"/>
          <w:rStyle w:val="FootnoteReference"/>
          <w:sz w:val="24"/>
        </w:rPr>
        <w:footnoteReference w:id="21"/>
      </w:r>
      <w:r>
        <w:rPr>
          <w:sz w:val="24"/>
        </w:rPr>
        <w:t xml:space="preserve"> (swaps)</w:t>
      </w:r>
      <w:r>
        <w:rPr>
          <w:rStyle w:val="FootnoteCharacters"/>
          <w:rStyle w:val="FootnoteReference"/>
          <w:sz w:val="24"/>
        </w:rPr>
        <w:footnoteReference w:id="22"/>
      </w:r>
      <w:r>
        <w:rPr>
          <w:sz w:val="24"/>
        </w:rPr>
        <w:t xml:space="preserve"> and options on futures contracts.  In addition to Exchange-trading, independent market makers offer instruments which are specifically tailored to meet a party’s specific needs.  These instruments include swaps, HDD put options, HDD call options, and HDD costless collars.  </w:t>
      </w:r>
    </w:p>
    <w:p>
      <w:pPr>
        <w:pStyle w:val="Normal"/>
        <w:spacing w:lineRule="auto" w:line="360"/>
        <w:rPr>
          <w:sz w:val="24"/>
        </w:rPr>
      </w:pPr>
      <w:r>
        <w:rPr>
          <w:sz w:val="24"/>
        </w:rPr>
      </w:r>
    </w:p>
    <w:p>
      <w:pPr>
        <w:pStyle w:val="Normal"/>
        <w:spacing w:lineRule="auto" w:line="360"/>
        <w:rPr>
          <w:sz w:val="24"/>
        </w:rPr>
      </w:pPr>
      <w:r>
        <w:rPr>
          <w:sz w:val="24"/>
        </w:rPr>
        <w:t>All contracts involve financial (cash) settlements based on published degree day indices.  Transactions are settled against meteorological data at stations called WBANs (weather bands) established in cities throughout North America.  In the Lower Mainland, the WBAN is based on weather data collected at the Vancouver International Airport.</w:t>
      </w:r>
    </w:p>
    <w:p>
      <w:pPr>
        <w:pStyle w:val="Heading3"/>
        <w:spacing w:lineRule="auto" w:line="360"/>
        <w:ind w:hanging="0" w:start="0"/>
        <w:rPr>
          <w:i w:val="false"/>
          <w:i w:val="false"/>
          <w:sz w:val="24"/>
        </w:rPr>
      </w:pPr>
      <w:r>
        <w:rPr>
          <w:i w:val="false"/>
          <w:sz w:val="24"/>
        </w:rPr>
      </w:r>
    </w:p>
    <w:p>
      <w:pPr>
        <w:pStyle w:val="Heading3"/>
        <w:spacing w:lineRule="auto" w:line="360"/>
        <w:ind w:hanging="0" w:start="0"/>
        <w:rPr>
          <w:i w:val="false"/>
          <w:i w:val="false"/>
        </w:rPr>
      </w:pPr>
      <w:r>
        <w:rPr>
          <w:i w:val="false"/>
        </w:rPr>
        <w:t>MARGIN LOSS PROJECTION</w:t>
      </w:r>
    </w:p>
    <w:p>
      <w:pPr>
        <w:pStyle w:val="Normal"/>
        <w:spacing w:lineRule="auto" w:line="360"/>
        <w:rPr>
          <w:i/>
          <w:i/>
          <w:sz w:val="24"/>
        </w:rPr>
      </w:pPr>
      <w:r>
        <w:rPr>
          <w:i/>
          <w:sz w:val="24"/>
        </w:rPr>
      </w:r>
    </w:p>
    <w:p>
      <w:pPr>
        <w:pStyle w:val="Normal"/>
        <w:spacing w:lineRule="auto" w:line="360"/>
        <w:rPr>
          <w:sz w:val="24"/>
        </w:rPr>
      </w:pPr>
      <w:r>
        <w:rPr>
          <w:sz w:val="24"/>
        </w:rPr>
        <w:t xml:space="preserve">Before evaluating any of the weather derivatives, it is necessary to determine the tick size (payout interval) for every HDD lower than the BC Gas budget (2779 HDD).  Therefore, BC Gas margin was calculated based on current forecasts for consumption levels and temperature for year 2000.  </w:t>
      </w:r>
    </w:p>
    <w:p>
      <w:pPr>
        <w:pStyle w:val="Normal"/>
        <w:spacing w:lineRule="auto" w:line="360"/>
        <w:rPr>
          <w:sz w:val="24"/>
        </w:rPr>
      </w:pPr>
      <w:r>
        <w:rPr>
          <w:sz w:val="24"/>
        </w:rPr>
      </w:r>
    </w:p>
    <w:p>
      <w:pPr>
        <w:pStyle w:val="Normal"/>
        <w:spacing w:lineRule="auto" w:line="360"/>
        <w:rPr/>
      </w:pPr>
      <w:r>
        <w:rPr>
          <w:sz w:val="24"/>
        </w:rPr>
        <w:t>Total monthly firm sales were plotted against HDD for year 2000.  Table 2 shows the specific data.  As illustrated on Figure 3, a second-degree polynomial relationship was determined to be the best fit, with a high correlation coefficient (R</w:t>
      </w:r>
      <w:r>
        <w:rPr>
          <w:sz w:val="24"/>
          <w:vertAlign w:val="superscript"/>
        </w:rPr>
        <w:t>2</w:t>
      </w:r>
      <w:r>
        <w:rPr>
          <w:sz w:val="24"/>
        </w:rPr>
        <w:t xml:space="preserve">) of 0.9979.  Using the polynomial equation, a scenario of 10% warmer-than-normal weather was investigated.  The impact on monthly firm sales (throughput) was forecast.  The original forecast for year 2000 budget and the forecast under the 10% warmer-than-normal weather scenario for the months of January through December is illustrated in Figure 4.  </w:t>
      </w:r>
    </w:p>
    <w:p>
      <w:pPr>
        <w:pStyle w:val="Normal"/>
        <w:spacing w:lineRule="auto" w:line="360"/>
        <w:rPr>
          <w:sz w:val="24"/>
        </w:rPr>
      </w:pPr>
      <w:r>
        <w:rPr>
          <w:sz w:val="24"/>
        </w:rPr>
      </w:r>
    </w:p>
    <w:p>
      <w:pPr>
        <w:pStyle w:val="Normal"/>
        <w:spacing w:lineRule="auto" w:line="360"/>
        <w:rPr>
          <w:sz w:val="24"/>
        </w:rPr>
      </w:pPr>
      <w:r>
        <w:rPr>
          <w:sz w:val="24"/>
        </w:rPr>
        <w:t>It was determined that the firm’s weather risk sensitivity was 0.97 % for a 1% drop in HDD.  This was calculated by dividing the total variance in firm sales due to warmer-than-normal weather by the original forecast for firm sales.</w:t>
      </w:r>
    </w:p>
    <w:p>
      <w:pPr>
        <w:pStyle w:val="Normal"/>
        <w:spacing w:lineRule="auto" w:line="360"/>
        <w:rPr>
          <w:sz w:val="24"/>
        </w:rPr>
      </w:pPr>
      <w:r>
        <w:rPr>
          <w:sz w:val="24"/>
        </w:rPr>
      </w:r>
    </w:p>
    <w:p>
      <w:pPr>
        <w:pStyle w:val="Normal"/>
        <w:spacing w:lineRule="auto" w:line="360"/>
        <w:rPr>
          <w:sz w:val="24"/>
        </w:rPr>
      </w:pPr>
      <w:r>
        <w:rPr>
          <w:sz w:val="24"/>
        </w:rPr>
        <w:t>Total firm forecast was a macro viewpoint.  Disaggregating total forecast sales was done to improve accuracy of the margin.  Total firm sales were broken down into individual client groups.  BC Gas currently offers 6 major rates, which are illustrated in the following table.</w:t>
      </w:r>
    </w:p>
    <w:p>
      <w:pPr>
        <w:pStyle w:val="Normal"/>
        <w:spacing w:lineRule="auto" w:line="360"/>
        <w:rPr>
          <w:sz w:val="24"/>
        </w:rPr>
      </w:pPr>
      <w:r>
        <w:rPr>
          <w:sz w:val="24"/>
        </w:rPr>
      </w:r>
    </w:p>
    <w:tbl>
      <w:tblPr>
        <w:tblW w:w="7020" w:type="dxa"/>
        <w:jc w:val="start"/>
        <w:tblInd w:w="648" w:type="dxa"/>
        <w:tblLayout w:type="fixed"/>
        <w:tblCellMar>
          <w:top w:w="0" w:type="dxa"/>
          <w:start w:w="108" w:type="dxa"/>
          <w:bottom w:w="0" w:type="dxa"/>
          <w:end w:w="108" w:type="dxa"/>
        </w:tblCellMar>
      </w:tblPr>
      <w:tblGrid>
        <w:gridCol w:w="2520"/>
        <w:gridCol w:w="4500"/>
      </w:tblGrid>
      <w:tr>
        <w:trPr/>
        <w:tc>
          <w:tcPr>
            <w:tcW w:w="2520" w:type="dxa"/>
            <w:tcBorders>
              <w:top w:val="single" w:sz="4" w:space="0" w:color="000000"/>
              <w:start w:val="single" w:sz="4" w:space="0" w:color="000000"/>
              <w:bottom w:val="single" w:sz="4" w:space="0" w:color="000000"/>
              <w:end w:val="single" w:sz="4" w:space="0" w:color="000000"/>
            </w:tcBorders>
            <w:shd w:fill="D8D8D8" w:val="clear"/>
          </w:tcPr>
          <w:p>
            <w:pPr>
              <w:pStyle w:val="Heading7"/>
              <w:ind w:hanging="0" w:start="0"/>
              <w:rPr/>
            </w:pPr>
            <w:r>
              <w:rPr/>
              <w:t>Rate</w:t>
            </w:r>
          </w:p>
        </w:tc>
        <w:tc>
          <w:tcPr>
            <w:tcW w:w="4500" w:type="dxa"/>
            <w:tcBorders>
              <w:top w:val="single" w:sz="4" w:space="0" w:color="000000"/>
              <w:start w:val="single" w:sz="4" w:space="0" w:color="000000"/>
              <w:bottom w:val="single" w:sz="4" w:space="0" w:color="000000"/>
              <w:end w:val="single" w:sz="4" w:space="0" w:color="000000"/>
            </w:tcBorders>
            <w:shd w:fill="D8D8D8" w:val="clear"/>
          </w:tcPr>
          <w:p>
            <w:pPr>
              <w:pStyle w:val="Heading5"/>
              <w:spacing w:lineRule="auto" w:line="360"/>
              <w:ind w:hanging="0" w:start="0"/>
              <w:jc w:val="center"/>
              <w:rPr/>
            </w:pPr>
            <w:r>
              <w:rPr/>
              <w:t>Customer Description</w:t>
            </w:r>
          </w:p>
        </w:tc>
      </w:tr>
      <w:tr>
        <w:trPr/>
        <w:tc>
          <w:tcPr>
            <w:tcW w:w="2520" w:type="dxa"/>
            <w:tcBorders>
              <w:top w:val="single" w:sz="4" w:space="0" w:color="000000"/>
              <w:start w:val="single" w:sz="4" w:space="0" w:color="000000"/>
              <w:bottom w:val="single" w:sz="4" w:space="0" w:color="000000"/>
              <w:end w:val="single" w:sz="4" w:space="0" w:color="000000"/>
            </w:tcBorders>
          </w:tcPr>
          <w:p>
            <w:pPr>
              <w:pStyle w:val="Heading8"/>
              <w:ind w:hanging="0" w:start="0"/>
              <w:rPr>
                <w:sz w:val="20"/>
              </w:rPr>
            </w:pPr>
            <w:r>
              <w:rPr>
                <w:sz w:val="20"/>
              </w:rPr>
              <w:t>R1</w:t>
            </w:r>
          </w:p>
        </w:tc>
        <w:tc>
          <w:tcPr>
            <w:tcW w:w="4500"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sz w:val="20"/>
              </w:rPr>
            </w:pPr>
            <w:r>
              <w:rPr>
                <w:sz w:val="20"/>
              </w:rPr>
              <w:t>Residential</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t>R2</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t>Small Commercial</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t>R3</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t>Large Commercial</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t>R4</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t>Seasonal</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t>R5</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t>High Load Factor (Industrial)</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t>R6</w:t>
            </w:r>
          </w:p>
        </w:tc>
        <w:tc>
          <w:tcPr>
            <w:tcW w:w="4500" w:type="dxa"/>
            <w:tcBorders>
              <w:top w:val="single" w:sz="4" w:space="0" w:color="000000"/>
              <w:start w:val="single" w:sz="4" w:space="0" w:color="000000"/>
              <w:bottom w:val="single" w:sz="4" w:space="0" w:color="000000"/>
              <w:end w:val="single" w:sz="4" w:space="0" w:color="000000"/>
            </w:tcBorders>
          </w:tcPr>
          <w:p>
            <w:pPr>
              <w:pStyle w:val="Normal"/>
              <w:spacing w:lineRule="auto" w:line="360"/>
              <w:rPr/>
            </w:pPr>
            <w:r>
              <w:rPr/>
              <w:t>NGV (Stations)</w:t>
            </w:r>
          </w:p>
        </w:tc>
      </w:tr>
    </w:tbl>
    <w:p>
      <w:pPr>
        <w:pStyle w:val="Normal"/>
        <w:spacing w:lineRule="auto" w:line="360"/>
        <w:rPr>
          <w:sz w:val="24"/>
        </w:rPr>
      </w:pPr>
      <w:r>
        <w:rPr>
          <w:sz w:val="24"/>
        </w:rPr>
      </w:r>
    </w:p>
    <w:p>
      <w:pPr>
        <w:pStyle w:val="Normal"/>
        <w:spacing w:lineRule="auto" w:line="360"/>
        <w:rPr>
          <w:sz w:val="24"/>
        </w:rPr>
      </w:pPr>
      <w:r>
        <w:rPr>
          <w:sz w:val="24"/>
        </w:rPr>
        <w:t>Energy consumption for clients under Rates 4 and 6 are less influenced by weather than the remainder of the clients (R1, R2, R3 and R5).  Refer to Table 3.  As illustrated in Figure 5, second-degree polynomial curve was again determined to be the best fit for the four rate groups when revenue was plotted versus HDD. The original forecast and the forecast under 10% warmer weather scenario for the four rate types are illustrated in Figure 6.</w:t>
      </w:r>
    </w:p>
    <w:p>
      <w:pPr>
        <w:pStyle w:val="Normal"/>
        <w:spacing w:lineRule="auto" w:line="360"/>
        <w:rPr>
          <w:sz w:val="24"/>
        </w:rPr>
      </w:pPr>
      <w:r>
        <w:rPr>
          <w:sz w:val="24"/>
        </w:rPr>
      </w:r>
    </w:p>
    <w:p>
      <w:pPr>
        <w:pStyle w:val="Normal"/>
        <w:spacing w:lineRule="auto" w:line="360"/>
        <w:rPr>
          <w:sz w:val="24"/>
        </w:rPr>
      </w:pPr>
      <w:r>
        <w:rPr>
          <w:sz w:val="24"/>
        </w:rPr>
        <w:t xml:space="preserve">The total change in utility revenue was calculated by multiplying the change in volume by the variable gas commodity rate for the individual rate classes (R1, R2, R3 and R5), and summing the revenue changes by class.  The change in costs were derived from BC Gas Budget spreadsheets taking into account gas commodity forecast prices, transportation, storage, and tolls for the current supply portfolio.  The net dollar effect of a 10% warmer-than-normal year (margin loss) was determined to be $48,000 per HDD; this is by how much the operating margin of BC Gas is reduced for a 1 HDD drop from what is the gas budget.   Therefore a tick size of $48,000 for weather derivatives was selected.  Tables 4 and 5 provide detailed calculations, and Figure 7 illustrates the results graphically.    </w:t>
      </w:r>
    </w:p>
    <w:p>
      <w:pPr>
        <w:pStyle w:val="Normal"/>
        <w:spacing w:lineRule="auto" w:line="360"/>
        <w:rPr>
          <w:sz w:val="24"/>
        </w:rPr>
      </w:pPr>
      <w:r>
        <w:rPr>
          <w:sz w:val="24"/>
        </w:rPr>
      </w:r>
    </w:p>
    <w:p>
      <w:pPr>
        <w:pStyle w:val="Heading2"/>
        <w:spacing w:lineRule="auto" w:line="360"/>
        <w:ind w:hanging="0" w:start="0"/>
        <w:rPr/>
      </w:pPr>
      <w:r>
        <w:rPr/>
        <w:t>HEDGING STRATEGIES</w:t>
      </w:r>
    </w:p>
    <w:p>
      <w:pPr>
        <w:pStyle w:val="Normal"/>
        <w:spacing w:lineRule="auto" w:line="360"/>
        <w:rPr>
          <w:sz w:val="24"/>
        </w:rPr>
      </w:pPr>
      <w:r>
        <w:rPr>
          <w:sz w:val="24"/>
        </w:rPr>
      </w:r>
    </w:p>
    <w:p>
      <w:pPr>
        <w:pStyle w:val="Normal"/>
        <w:spacing w:lineRule="auto" w:line="360"/>
        <w:rPr>
          <w:sz w:val="24"/>
        </w:rPr>
      </w:pPr>
      <w:r>
        <w:rPr>
          <w:sz w:val="24"/>
        </w:rPr>
        <w:t xml:space="preserve">A number of different strategies were considered in order to craft an instrument to protect BC Gas margin from volume-related losses during a 10% warmer-than-normal (assumed) weather.  </w:t>
      </w:r>
    </w:p>
    <w:p>
      <w:pPr>
        <w:pStyle w:val="Normal"/>
        <w:spacing w:lineRule="auto" w:line="360"/>
        <w:rPr>
          <w:sz w:val="24"/>
        </w:rPr>
      </w:pPr>
      <w:r>
        <w:rPr>
          <w:sz w:val="24"/>
        </w:rPr>
      </w:r>
    </w:p>
    <w:p>
      <w:pPr>
        <w:pStyle w:val="Heading2"/>
        <w:spacing w:lineRule="auto" w:line="360"/>
        <w:ind w:hanging="0" w:start="0"/>
        <w:rPr/>
      </w:pPr>
      <w:r>
        <w:rPr/>
        <w:t>Option Strategies</w:t>
      </w:r>
    </w:p>
    <w:p>
      <w:pPr>
        <w:pStyle w:val="Normal"/>
        <w:spacing w:lineRule="auto" w:line="360"/>
        <w:rPr>
          <w:sz w:val="24"/>
        </w:rPr>
      </w:pPr>
      <w:r>
        <w:rPr>
          <w:sz w:val="24"/>
        </w:rPr>
      </w:r>
    </w:p>
    <w:p>
      <w:pPr>
        <w:pStyle w:val="Normal"/>
        <w:spacing w:lineRule="auto" w:line="360"/>
        <w:rPr>
          <w:sz w:val="24"/>
        </w:rPr>
      </w:pPr>
      <w:r>
        <w:rPr>
          <w:sz w:val="24"/>
        </w:rPr>
        <w:t xml:space="preserve">Two OTC option strategies were considered in order to hedge the risk of warmer-than-normal weather: put options and costless collar. The quotes were obtained from Koch, which is one of only a handful of OTC dealers that specializes in weather-related hedging strategies.  Dollar figures are in Canadian currency, and a benchmark temperature of 18.33 degrees Celsius (65 degrees Fahrenheit) was used for options pricing.  Weather data have been rounded off to the nearest HDD.  BC Gas’ annual 2000 revenue target is based on 2779 HDD, the average temperature in Vancouver in the past 10 years. </w:t>
      </w:r>
    </w:p>
    <w:p>
      <w:pPr>
        <w:pStyle w:val="Heading2"/>
        <w:spacing w:lineRule="auto" w:line="360"/>
        <w:ind w:hanging="0" w:start="0"/>
        <w:rPr>
          <w:b w:val="false"/>
          <w:sz w:val="24"/>
        </w:rPr>
      </w:pPr>
      <w:r>
        <w:rPr>
          <w:b w:val="false"/>
          <w:sz w:val="24"/>
        </w:rPr>
      </w:r>
    </w:p>
    <w:p>
      <w:pPr>
        <w:pStyle w:val="Heading2"/>
        <w:spacing w:lineRule="auto" w:line="360"/>
        <w:ind w:hanging="0" w:start="0"/>
        <w:rPr>
          <w:i/>
          <w:i/>
          <w:u w:val="single"/>
        </w:rPr>
      </w:pPr>
      <w:r>
        <w:rPr>
          <w:i/>
          <w:u w:val="single"/>
        </w:rPr>
        <w:t>Put Option</w:t>
      </w:r>
    </w:p>
    <w:p>
      <w:pPr>
        <w:pStyle w:val="Normal"/>
        <w:spacing w:lineRule="auto" w:line="360"/>
        <w:rPr>
          <w:i/>
          <w:i/>
          <w:sz w:val="24"/>
          <w:u w:val="single"/>
        </w:rPr>
      </w:pPr>
      <w:r>
        <w:rPr>
          <w:i/>
          <w:sz w:val="24"/>
          <w:u w:val="single"/>
        </w:rPr>
      </w:r>
    </w:p>
    <w:p>
      <w:pPr>
        <w:pStyle w:val="Normal"/>
        <w:spacing w:lineRule="auto" w:line="360"/>
        <w:rPr/>
      </w:pPr>
      <w:r>
        <w:rPr>
          <w:sz w:val="24"/>
        </w:rPr>
        <w:t>A quote was obtained from Koch for the purchase of a put option covering the period of one full gas year</w:t>
      </w:r>
      <w:r>
        <w:rPr>
          <w:rStyle w:val="FootnoteCharacters"/>
          <w:rStyle w:val="FootnoteReference"/>
          <w:sz w:val="24"/>
        </w:rPr>
        <w:footnoteReference w:id="23"/>
      </w:r>
      <w:r>
        <w:rPr>
          <w:sz w:val="24"/>
        </w:rPr>
        <w:t xml:space="preserve"> (November 2000 through October 2001).  This is similar to buying insurance, with a deductible, to ensure that BC Gas corporate earnings are protected from an overall warmer-than-normal year.  </w:t>
      </w:r>
    </w:p>
    <w:p>
      <w:pPr>
        <w:pStyle w:val="Normal"/>
        <w:spacing w:lineRule="auto" w:line="360"/>
        <w:rPr>
          <w:sz w:val="24"/>
        </w:rPr>
      </w:pPr>
      <w:r>
        <w:rPr>
          <w:sz w:val="24"/>
        </w:rPr>
      </w:r>
    </w:p>
    <w:p>
      <w:pPr>
        <w:pStyle w:val="Normal"/>
        <w:spacing w:lineRule="auto" w:line="360"/>
        <w:rPr>
          <w:sz w:val="24"/>
        </w:rPr>
      </w:pPr>
      <w:r>
        <w:rPr>
          <w:sz w:val="24"/>
        </w:rPr>
        <w:t>Below 2779 HDD, BC Gas is expected to incur a loss of $48,000 per HDD.  The premium required for an out-of-the-money put option (referred to as type 1 for simplicity) with a strike of 2700 HDD and a $16 million cap is $1.6 million.  This premium would be paid approximately 5 to 15 days after a deal has been reached.  The cap was requested to ensure that the option price is reasonable, and that it represents the maximum payoff from the long put position.  Under this strategy, BC Gas would have a 333 HDD protection; i.e., temperature could drop to as low as 2446 HDD and BC Gas corporate earnings would still be protected.</w:t>
      </w:r>
    </w:p>
    <w:p>
      <w:pPr>
        <w:pStyle w:val="Normal"/>
        <w:spacing w:lineRule="auto" w:line="360"/>
        <w:rPr>
          <w:sz w:val="24"/>
        </w:rPr>
      </w:pPr>
      <w:r>
        <w:rPr>
          <w:sz w:val="24"/>
        </w:rPr>
      </w:r>
    </w:p>
    <w:p>
      <w:pPr>
        <w:pStyle w:val="Normal"/>
        <w:spacing w:lineRule="auto" w:line="360"/>
        <w:rPr>
          <w:sz w:val="24"/>
        </w:rPr>
      </w:pPr>
      <w:r>
        <w:rPr>
          <w:sz w:val="24"/>
        </w:rPr>
        <w:t>BC Gas would, however, have to incur a deductible of 79 HDD, or equivalent of $3.8 million, before any payoff is received from longing this position (this deductible was chosen so that the option would be affordable).  Although payoff of $48,000 per tick is received below 2700 HDD, no profit is made until the HDD index falls below the put break-even point of 2667 HDD.  Figure 8 shows the profit profile for this put option.</w:t>
      </w:r>
    </w:p>
    <w:p>
      <w:pPr>
        <w:pStyle w:val="Normal"/>
        <w:spacing w:lineRule="auto" w:line="360"/>
        <w:rPr>
          <w:sz w:val="24"/>
        </w:rPr>
      </w:pPr>
      <w:r>
        <w:rPr>
          <w:sz w:val="24"/>
        </w:rPr>
      </w:r>
    </w:p>
    <w:p>
      <w:pPr>
        <w:pStyle w:val="Normal"/>
        <w:spacing w:lineRule="auto" w:line="360"/>
        <w:rPr>
          <w:sz w:val="24"/>
        </w:rPr>
      </w:pPr>
      <w:r>
        <w:rPr>
          <w:sz w:val="24"/>
        </w:rPr>
        <w:t xml:space="preserve">Another quote for a put option (referred to as type 2) with the same features as type 1 put option, but with a $9.6 million cap or 200 HDD protection, was requested. This put option would lower the premium to $1.4 million.  The break-even point for the type 2 put option is 2670 HDD.  This means that profit is made sooner than with type 1 put because of the lower premium requirement.  Figure 9 illustrates the profit profile for this strategy.   A 200 HDD was believed to be adequate by Koch.  However, historical data between 1941 and 1998 (Appendix 1) indicated that temperature in Vancouver dropped by more than 200 HDD twice, in 1958 (261 HDD) and recently in 1998 (225 HDD).   Therefore, there is some doubt about the adequacy of the 200 HDD protection. </w:t>
      </w:r>
    </w:p>
    <w:p>
      <w:pPr>
        <w:pStyle w:val="Normal"/>
        <w:spacing w:lineRule="auto" w:line="360"/>
        <w:rPr>
          <w:sz w:val="24"/>
        </w:rPr>
      </w:pPr>
      <w:r>
        <w:rPr>
          <w:sz w:val="24"/>
        </w:rPr>
      </w:r>
    </w:p>
    <w:p>
      <w:pPr>
        <w:pStyle w:val="Normal"/>
        <w:spacing w:lineRule="auto" w:line="360"/>
        <w:rPr>
          <w:sz w:val="24"/>
        </w:rPr>
      </w:pPr>
      <w:r>
        <w:rPr>
          <w:sz w:val="24"/>
        </w:rPr>
        <w:t xml:space="preserve">These puts are so-called “European” options, which can only be exercised upon contract settlement. However, a party may decide to sell the option for cash before its expiry date.  </w:t>
      </w:r>
    </w:p>
    <w:p>
      <w:pPr>
        <w:pStyle w:val="Normal"/>
        <w:spacing w:lineRule="auto" w:line="360"/>
        <w:rPr>
          <w:sz w:val="24"/>
        </w:rPr>
      </w:pPr>
      <w:r>
        <w:rPr>
          <w:sz w:val="24"/>
        </w:rPr>
      </w:r>
    </w:p>
    <w:p>
      <w:pPr>
        <w:pStyle w:val="Normal"/>
        <w:spacing w:lineRule="auto" w:line="360"/>
        <w:rPr>
          <w:sz w:val="24"/>
        </w:rPr>
      </w:pPr>
      <w:r>
        <w:rPr>
          <w:sz w:val="24"/>
        </w:rPr>
        <w:t xml:space="preserve">In the case of put options and other strategies that will be discussed below, once the minimum and the maximum HDD data (referred to as unedited data) for the last day of the contract are established, the counterparties are required to settle their accounts within 5 days.  The governing body has 90 days to edit the unedited data and make any necessary adjustments, but these adjustments are generally negligible (according to Koch). </w:t>
      </w:r>
    </w:p>
    <w:p>
      <w:pPr>
        <w:pStyle w:val="Normal"/>
        <w:spacing w:lineRule="auto" w:line="360"/>
        <w:rPr>
          <w:sz w:val="24"/>
        </w:rPr>
      </w:pPr>
      <w:r>
        <w:rPr>
          <w:sz w:val="24"/>
        </w:rPr>
      </w:r>
    </w:p>
    <w:p>
      <w:pPr>
        <w:pStyle w:val="Heading2"/>
        <w:spacing w:lineRule="auto" w:line="360"/>
        <w:ind w:hanging="0" w:start="0"/>
        <w:rPr>
          <w:i/>
          <w:i/>
          <w:sz w:val="24"/>
          <w:u w:val="single"/>
        </w:rPr>
      </w:pPr>
      <w:r>
        <w:rPr>
          <w:i/>
          <w:sz w:val="24"/>
          <w:u w:val="single"/>
        </w:rPr>
      </w:r>
    </w:p>
    <w:p>
      <w:pPr>
        <w:pStyle w:val="Heading2"/>
        <w:spacing w:lineRule="auto" w:line="360"/>
        <w:ind w:hanging="0" w:start="0"/>
        <w:rPr>
          <w:i/>
          <w:i/>
          <w:u w:val="single"/>
        </w:rPr>
      </w:pPr>
      <w:r>
        <w:rPr>
          <w:i/>
          <w:u w:val="single"/>
        </w:rPr>
        <w:t>Costless Collar</w:t>
      </w:r>
    </w:p>
    <w:p>
      <w:pPr>
        <w:pStyle w:val="Normal"/>
        <w:spacing w:lineRule="auto" w:line="360"/>
        <w:rPr>
          <w:i/>
          <w:i/>
          <w:sz w:val="24"/>
          <w:u w:val="single"/>
        </w:rPr>
      </w:pPr>
      <w:r>
        <w:rPr>
          <w:i/>
          <w:sz w:val="24"/>
          <w:u w:val="single"/>
        </w:rPr>
      </w:r>
    </w:p>
    <w:p>
      <w:pPr>
        <w:pStyle w:val="BodyText"/>
        <w:rPr/>
      </w:pPr>
      <w:r>
        <w:rPr/>
        <w:t>Another quote was obtained from Koch for a costless collar covering the period of November 2000 through October 2001.  This strategy would allow BC Gas to hedge weather risk without paying an up-front premium.  BC Gas would buy (long)</w:t>
      </w:r>
      <w:r>
        <w:rPr>
          <w:rStyle w:val="FootnoteCharacters"/>
          <w:rStyle w:val="FootnoteReference"/>
        </w:rPr>
        <w:footnoteReference w:id="24"/>
      </w:r>
      <w:r>
        <w:rPr/>
        <w:t xml:space="preserve"> a put option at the same strike of 2700 HDD (at no cost), and will finance the cost of put premium by selling (shorting)</w:t>
      </w:r>
      <w:r>
        <w:rPr>
          <w:rStyle w:val="FootnoteCharacters"/>
          <w:rStyle w:val="FootnoteReference"/>
        </w:rPr>
        <w:footnoteReference w:id="25"/>
      </w:r>
      <w:r>
        <w:rPr/>
        <w:t xml:space="preserve"> a call option (without receiving the premium) at the strike of 2990 HDD, for the same time period as the put option.  To make this option more affordable and less risky, it was decided to limit the upside and the downside potential by placing a ceiling and a floor of $16 million.</w:t>
      </w:r>
    </w:p>
    <w:p>
      <w:pPr>
        <w:pStyle w:val="BodyText"/>
        <w:rPr/>
      </w:pPr>
      <w:r>
        <w:rPr/>
      </w:r>
    </w:p>
    <w:p>
      <w:pPr>
        <w:pStyle w:val="BodyText"/>
        <w:rPr/>
      </w:pPr>
      <w:r>
        <w:rPr/>
        <w:t>Under this scheme, BC Gas would incur a deductible of $3.8 million (79 HDD) before it receives any payoff (profit) from this position in case of warmer-than-normal weather, with a maximum payoff of $16 million.  In case of colder-than-normal weather, BC Gas would profit form its elevated sales at a rate of $48,000 per HDD above 2779 until the index reaches 2990 HDD, but there is no payoff to Koch from the position until 2990 HDD.   In other words, neither of the two parties receives any payoff if weather is between the 2700 HDD and 2990 HDD band.  Beyond 2990 HDD, BC Gas would pay the counterparty at a rate of $48,000 per HDD, for a maximum of $16 million; this may be affordable to BC Gas because of the increased revenues as a result of a colder-than-normal year.    Figure 10 illustrates the profit profile.</w:t>
      </w:r>
    </w:p>
    <w:p>
      <w:pPr>
        <w:pStyle w:val="BodyText"/>
        <w:rPr/>
      </w:pPr>
      <w:r>
        <w:rPr/>
      </w:r>
    </w:p>
    <w:p>
      <w:pPr>
        <w:pStyle w:val="Normal"/>
        <w:spacing w:lineRule="auto" w:line="360"/>
        <w:rPr>
          <w:b/>
          <w:sz w:val="24"/>
        </w:rPr>
      </w:pPr>
      <w:r>
        <w:rPr>
          <w:b/>
          <w:sz w:val="24"/>
        </w:rPr>
        <w:t>Fixed-Price Swap (Exchange-traded)</w:t>
      </w:r>
    </w:p>
    <w:p>
      <w:pPr>
        <w:pStyle w:val="Normal"/>
        <w:spacing w:lineRule="auto" w:line="360"/>
        <w:rPr>
          <w:b/>
          <w:sz w:val="24"/>
        </w:rPr>
      </w:pPr>
      <w:r>
        <w:rPr>
          <w:b/>
          <w:sz w:val="24"/>
        </w:rPr>
      </w:r>
    </w:p>
    <w:p>
      <w:pPr>
        <w:pStyle w:val="Normal"/>
        <w:spacing w:lineRule="auto" w:line="360"/>
        <w:rPr>
          <w:sz w:val="24"/>
        </w:rPr>
      </w:pPr>
      <w:r>
        <w:rPr>
          <w:sz w:val="24"/>
        </w:rPr>
        <w:t xml:space="preserve">Another way BC Gas can protect its corporate earnings is through selling (shorting) monthly futures HDD contracts to create a zero-profit swap.  In other words, BC Gas would lock-in a fixed-price (zero) on a fixed volume (budget volume) of natural gas over the gas year (November 2000 through October 2001). Under this scheme, if weather is warmer (HDD index is lower for the aggregate 12 months) than the strike of 2779 HDD, BC Gas would profit from its oversold (short) position.  The counterparty (buyer of the HDD index contract) will pay BC Gas for each HDD drop for every contract.  Conversely, if the weather is colder-than-normal, BC Gas would benefit from the volume-related gains, and would compensate the counterparty for each HDD increase per contract.  This way, BC Gas can stabilize its earnings and shield its revenues from the ill effects of warmer-than-normal weather. </w:t>
      </w:r>
    </w:p>
    <w:p>
      <w:pPr>
        <w:pStyle w:val="Normal"/>
        <w:spacing w:lineRule="auto" w:line="360"/>
        <w:rPr>
          <w:sz w:val="24"/>
        </w:rPr>
      </w:pPr>
      <w:r>
        <w:rPr>
          <w:sz w:val="24"/>
        </w:rPr>
      </w:r>
    </w:p>
    <w:p>
      <w:pPr>
        <w:pStyle w:val="Normal"/>
        <w:spacing w:lineRule="auto" w:line="360"/>
        <w:rPr>
          <w:sz w:val="24"/>
        </w:rPr>
      </w:pPr>
      <w:r>
        <w:rPr>
          <w:sz w:val="24"/>
        </w:rPr>
        <w:t xml:space="preserve">CME offers HDD index contracts for nine major US cities.  The closest one of these cities to Vancouver is Portland, Oregon.  Therefore, a historical study of temperature in Portland and Vancouver was conducted to examine temperature correlation between the two cities.  The idea was to verify whether Portland contracts could be used for Vancouver.  </w:t>
      </w:r>
    </w:p>
    <w:p>
      <w:pPr>
        <w:pStyle w:val="Normal"/>
        <w:spacing w:lineRule="auto" w:line="360"/>
        <w:rPr>
          <w:sz w:val="24"/>
        </w:rPr>
      </w:pPr>
      <w:r>
        <w:rPr>
          <w:sz w:val="24"/>
        </w:rPr>
      </w:r>
    </w:p>
    <w:p>
      <w:pPr>
        <w:pStyle w:val="Normal"/>
        <w:spacing w:lineRule="auto" w:line="360"/>
        <w:rPr/>
      </w:pPr>
      <w:r>
        <w:rPr>
          <w:sz w:val="24"/>
        </w:rPr>
        <w:t>Daily temperature for the period 1941 to 1998 were obtained for both cities, and the monthly sum of the HDDs was calculated.  Appendix 1 illustrates the historical data.  The scatter plot, the normal probability plot, the residual plot, the time order plot of residuals, and the variance plot (Figures 11 through 15) supported an almost perfectly linear relationship between the temperature in the two cities.  This is consistent with the fact that the Coast Mountains channel the same weather systems up and down the Pacific Coast between the two cities.  The linear regression results indicated that approximately 97% of the variation in monthly Vancouver HDD was explained by the monthly Portland HDD as indicated by the R</w:t>
      </w:r>
      <w:r>
        <w:rPr>
          <w:sz w:val="24"/>
          <w:vertAlign w:val="superscript"/>
        </w:rPr>
        <w:t xml:space="preserve">2 </w:t>
      </w:r>
      <w:r>
        <w:rPr>
          <w:sz w:val="24"/>
        </w:rPr>
        <w:t>value of 0.97.  The correlation coefficient (the square root of the R</w:t>
      </w:r>
      <w:r>
        <w:rPr>
          <w:sz w:val="24"/>
          <w:vertAlign w:val="superscript"/>
        </w:rPr>
        <w:t>2</w:t>
      </w:r>
      <w:r>
        <w:rPr>
          <w:sz w:val="24"/>
        </w:rPr>
        <w:t xml:space="preserve"> value) was determined to be 0.985, an almost perfect linear relationship.  The results were found to be statistically significant, as indicated by the large t-statistic value of 151.  Table 6 provides a summary of the regression results, and Appendix 2 shows all of the regression results.   </w:t>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t xml:space="preserve">The fitted regression equation is:  </w:t>
      </w:r>
    </w:p>
    <w:p>
      <w:pPr>
        <w:pStyle w:val="Normal"/>
        <w:spacing w:lineRule="auto" w:line="360"/>
        <w:rPr>
          <w:sz w:val="24"/>
        </w:rPr>
      </w:pPr>
      <w:r>
        <w:rPr>
          <w:i/>
          <w:sz w:val="24"/>
        </w:rPr>
        <w:t>Monthly Vancouver HDD = 0.9906* Monthly Portland HDD + 43.097</w:t>
      </w:r>
    </w:p>
    <w:p>
      <w:pPr>
        <w:pStyle w:val="Normal"/>
        <w:spacing w:lineRule="auto" w:line="360"/>
        <w:rPr>
          <w:sz w:val="24"/>
        </w:rPr>
      </w:pPr>
      <w:r>
        <w:rPr>
          <w:sz w:val="24"/>
        </w:rPr>
      </w:r>
    </w:p>
    <w:p>
      <w:pPr>
        <w:pStyle w:val="Normal"/>
        <w:spacing w:lineRule="auto" w:line="360"/>
        <w:rPr>
          <w:sz w:val="24"/>
        </w:rPr>
      </w:pPr>
      <w:r>
        <w:rPr>
          <w:sz w:val="24"/>
        </w:rPr>
        <w:t xml:space="preserve">The coefficient (monthly Portland HDD) did not include zero in its upper and lower 95% confidence intervals.  This relationship suggests that on average, Portland daily temperature has been approximately 1.4 degree Celsius warmer than Vancouver daily temperature over the period of the study.  Intuitively, this makes sense as Portland is situated several hundred kilometers due south of Vancouver along the Pacific Coast.  Therefore, BC Gas would face a basis risk, based on the fact that the contract is written in a location (i.e., Portland) other than the area that it plans to cover. </w:t>
      </w:r>
    </w:p>
    <w:p>
      <w:pPr>
        <w:pStyle w:val="Normal"/>
        <w:spacing w:lineRule="auto" w:line="360"/>
        <w:rPr>
          <w:sz w:val="24"/>
        </w:rPr>
      </w:pPr>
      <w:r>
        <w:rPr>
          <w:sz w:val="24"/>
        </w:rPr>
      </w:r>
    </w:p>
    <w:p>
      <w:pPr>
        <w:pStyle w:val="Normal"/>
        <w:spacing w:lineRule="auto" w:line="360"/>
        <w:rPr>
          <w:sz w:val="24"/>
        </w:rPr>
      </w:pPr>
      <w:r>
        <w:rPr>
          <w:sz w:val="24"/>
        </w:rPr>
        <w:t xml:space="preserve">The CME contracts are calendar-month HDD futures contracts.  Contract size is $100 times the CME HDD index, with a minimum tick size of 1.00 HDD.   The CME HDD index measures the accumulated daily HDDs over a calendar month.  For instance, if the average daily HDD in Portland was 15 in November (65 degree Fahrenheit – 50 degree Fahrenheit), this would lead to an HDD index of 450 (15 * 30), with the nominal value of a futures contract at $45,000. Trading is conducted by brokers through an electronic media called Globex, and is available 24 hours a day.  The broker cost per contract is approximately $20 - $30 per contract, but is generally negotiable.  These contracts terminate and settle (cash) at 9:00 a.m. Chicago time on the first exchange business day, which is at least 2 calendar days following the last day of the contract month.  At the end of each month, the monthly settlement price is compared to the futures price.  The final mark-to-market is based upon the HDD index, which is calculated by Earth Satellite Corporation (EarthSat), a provider of weather services for the energy sector that specializes in remote sensing and geographic information technologies.  The temperatures in different cities listed by CME are collected by an Automated Surface Observation System.  In the Lower Mainland, data are gathered from the Vancouver International Airport by Environment Canada.   </w:t>
      </w:r>
    </w:p>
    <w:p>
      <w:pPr>
        <w:pStyle w:val="Normal"/>
        <w:spacing w:lineRule="auto" w:line="360"/>
        <w:rPr>
          <w:sz w:val="24"/>
        </w:rPr>
      </w:pPr>
      <w:r>
        <w:rPr>
          <w:sz w:val="24"/>
        </w:rPr>
      </w:r>
    </w:p>
    <w:p>
      <w:pPr>
        <w:pStyle w:val="Normal"/>
        <w:spacing w:lineRule="auto" w:line="360"/>
        <w:rPr>
          <w:sz w:val="24"/>
        </w:rPr>
      </w:pPr>
      <w:r>
        <w:rPr>
          <w:sz w:val="24"/>
        </w:rPr>
        <w:t xml:space="preserve">Based on the assumption that the market value of the Portland contract for a gas year is approximately equal to the 10-year average temperature of 2288 HDD (as shown in Table 7 - a fairly common assumption according to CME) times $100, the hedge ratio was calculated to be equal to 3615.  See Table 5 for detailed calculations.  This hedge ratio is the number of Portland HDD futures contracts that BC Gas would sell to achieve a zero-swap.  The hedge ratio, however, does not take into account the basis risk.  BC Gas may choose to wear this basis risk (i.e., assume that when Portland HDD changes, so will the Vancouver HDD) or it can ask an OTC dealer to create a “spread trade” which is the Vancouver – Portland HDD differential (491 HDD).  In other words, BC Gas could lock-in the differential between Vancouver and Portland by doing a swap on that spread.  Exchange-trading requires that a margin be posted to open an account, and the marking-to-market will either increase the margin if HDD index is lower than the strike (warmer), or will result in a margin call if the index is higher than the strike (colder weather). </w:t>
      </w:r>
    </w:p>
    <w:p>
      <w:pPr>
        <w:pStyle w:val="Normal"/>
        <w:spacing w:lineRule="auto" w:line="360"/>
        <w:rPr>
          <w:sz w:val="24"/>
        </w:rPr>
      </w:pPr>
      <w:r>
        <w:rPr>
          <w:sz w:val="24"/>
        </w:rPr>
      </w:r>
    </w:p>
    <w:p>
      <w:pPr>
        <w:pStyle w:val="Normal"/>
        <w:spacing w:lineRule="auto" w:line="360"/>
        <w:rPr>
          <w:sz w:val="24"/>
        </w:rPr>
      </w:pPr>
      <w:r>
        <w:rPr>
          <w:sz w:val="24"/>
        </w:rPr>
        <w:t>The above hedging strategy was considered strictly from a theoretical standpoint.  Currently, there are very few counterparties interested in taking such positions.  There has been no trading on the CME for Portland since May of this year, and there is currently no open interest.  This lack of liquidity has prompted parties to approach market makers such as Koch, Enron, and others who offer OTC deals.  It should also be noted that because of the basis risk, OTC dealers will be involved anyway, and so pursuing an OTC swap may be more favourable.</w:t>
      </w:r>
    </w:p>
    <w:p>
      <w:pPr>
        <w:pStyle w:val="Normal"/>
        <w:spacing w:lineRule="auto" w:line="360"/>
        <w:rPr>
          <w:sz w:val="24"/>
        </w:rPr>
      </w:pPr>
      <w:r>
        <w:rPr>
          <w:sz w:val="24"/>
        </w:rPr>
      </w:r>
    </w:p>
    <w:p>
      <w:pPr>
        <w:pStyle w:val="Normal"/>
        <w:spacing w:lineRule="auto" w:line="360"/>
        <w:rPr>
          <w:b/>
          <w:sz w:val="24"/>
        </w:rPr>
      </w:pPr>
      <w:r>
        <w:rPr>
          <w:b/>
          <w:sz w:val="24"/>
        </w:rPr>
        <w:t>Fixed Price Swap (OTC)</w:t>
      </w:r>
    </w:p>
    <w:p>
      <w:pPr>
        <w:pStyle w:val="Normal"/>
        <w:spacing w:lineRule="auto" w:line="360"/>
        <w:rPr>
          <w:b/>
          <w:sz w:val="24"/>
        </w:rPr>
      </w:pPr>
      <w:r>
        <w:rPr>
          <w:b/>
          <w:sz w:val="24"/>
        </w:rPr>
      </w:r>
    </w:p>
    <w:p>
      <w:pPr>
        <w:pStyle w:val="Normal"/>
        <w:spacing w:lineRule="auto" w:line="360"/>
        <w:rPr>
          <w:sz w:val="24"/>
        </w:rPr>
      </w:pPr>
      <w:r>
        <w:rPr>
          <w:sz w:val="24"/>
        </w:rPr>
        <w:t xml:space="preserve">A quote was obtained from Koch for a swap covering all of the months during the upcoming gas year (November 2000 through October 2001).  Unlike the Exchange-traded HDD futures contracts, which are only available for 9 major US cities, this OTC swap is written on Vancouver and does not involve any basis risk.  Koch may find another party in its portfolio who would take the opposite position (such as the construction or the entertainment business who would benefit from warmer-than-normal weather), or it could offset the position by other means (i.e., wearing the risk).  This way OTC weather derivative dealers such as Koch provide liquidity for CME by handling the risk themselves.  </w:t>
      </w:r>
    </w:p>
    <w:p>
      <w:pPr>
        <w:pStyle w:val="Normal"/>
        <w:spacing w:lineRule="auto" w:line="360"/>
        <w:rPr>
          <w:sz w:val="24"/>
        </w:rPr>
      </w:pPr>
      <w:r>
        <w:rPr>
          <w:sz w:val="24"/>
        </w:rPr>
      </w:r>
    </w:p>
    <w:p>
      <w:pPr>
        <w:pStyle w:val="Normal"/>
        <w:spacing w:lineRule="auto" w:line="360"/>
        <w:rPr>
          <w:sz w:val="24"/>
        </w:rPr>
      </w:pPr>
      <w:r>
        <w:rPr>
          <w:sz w:val="24"/>
        </w:rPr>
        <w:t>Under this scheme, BC Gas would receive a payoff (profit) of $48,000 per HDD tick if the temperature is below the strike of 2865 HDD, and would pay out at the same rate for temperatures above 2865 HDD.  Both parties’ payoffs (profits) are capped at $16 million.  Koch indicated that a swap strike of 2865 HDD was suitable because that is the annual temperature that the market believes is most appropriate for the Lower Mainland area.  Figure 16 illustrates revenue stabilization through an HDD swap.</w:t>
      </w:r>
    </w:p>
    <w:p>
      <w:pPr>
        <w:pStyle w:val="Normal"/>
        <w:spacing w:lineRule="auto" w:line="360"/>
        <w:rPr>
          <w:sz w:val="24"/>
        </w:rPr>
      </w:pPr>
      <w:r>
        <w:rPr>
          <w:sz w:val="24"/>
        </w:rPr>
      </w:r>
    </w:p>
    <w:p>
      <w:pPr>
        <w:pStyle w:val="Normal"/>
        <w:spacing w:lineRule="auto" w:line="360"/>
        <w:rPr>
          <w:sz w:val="24"/>
        </w:rPr>
      </w:pPr>
      <w:r>
        <w:rPr>
          <w:sz w:val="24"/>
        </w:rPr>
        <w:t xml:space="preserve">Generally, it would be better to deal with the Exchange since it addresses credit issues associated with an OTC market.  But the illiquid nature of the CME HDD futures contracts means that BC Gas will have to deal with an OTC market-maker to hedge its weather risk.  Therefore, credit risk is a concern for non-Exchange trading of the swap and also of the put and costless collar options.  Considering the linear payoff from the swap strategy (Figure 16) and the higher likelihood that cash will change hands in a swap transaction than in a put or costless collar, credit risk is of greater concern with an OTC swap transaction. </w:t>
      </w:r>
    </w:p>
    <w:p>
      <w:pPr>
        <w:pStyle w:val="Normal"/>
        <w:spacing w:lineRule="auto" w:line="360"/>
        <w:rPr>
          <w:sz w:val="24"/>
        </w:rPr>
      </w:pPr>
      <w:r>
        <w:rPr>
          <w:sz w:val="24"/>
        </w:rPr>
      </w:r>
    </w:p>
    <w:p>
      <w:pPr>
        <w:pStyle w:val="Normal"/>
        <w:spacing w:lineRule="auto" w:line="360"/>
        <w:rPr>
          <w:sz w:val="24"/>
        </w:rPr>
      </w:pPr>
      <w:r>
        <w:rPr>
          <w:sz w:val="24"/>
        </w:rPr>
        <w:t>BC Gas has short-listed a number of reputable counterparties, and has ranked these according to credit rating.  It is primarily the responsibility of the “Back Office” at BC Gas to ensure that trading is within the bounds set out by the “Risk Management” committee.  These bounds include approved mark-to-market credit limit, current mark-to-market credit exposure, and the maximum term to maturity.  As part of the risk assessment at BC Gas, the Risk Management committee has established a system to track and catch any breaches of the policies, and to take corrective actions to remedy any credit-related problems.</w:t>
      </w:r>
    </w:p>
    <w:p>
      <w:pPr>
        <w:pStyle w:val="Normal"/>
        <w:spacing w:lineRule="auto" w:line="360"/>
        <w:rPr>
          <w:sz w:val="24"/>
        </w:rPr>
      </w:pPr>
      <w:r>
        <w:rPr>
          <w:sz w:val="24"/>
        </w:rPr>
      </w:r>
    </w:p>
    <w:p>
      <w:pPr>
        <w:pStyle w:val="Heading2"/>
        <w:spacing w:lineRule="auto" w:line="360"/>
        <w:ind w:hanging="0" w:start="0"/>
        <w:rPr/>
      </w:pPr>
      <w:r>
        <w:rPr/>
        <w:t>CONCLUSIONS</w:t>
      </w:r>
    </w:p>
    <w:p>
      <w:pPr>
        <w:pStyle w:val="Normal"/>
        <w:spacing w:lineRule="auto" w:line="360"/>
        <w:rPr>
          <w:sz w:val="24"/>
        </w:rPr>
      </w:pPr>
      <w:r>
        <w:rPr>
          <w:sz w:val="24"/>
        </w:rPr>
      </w:r>
    </w:p>
    <w:p>
      <w:pPr>
        <w:pStyle w:val="Normal"/>
        <w:spacing w:lineRule="auto" w:line="360"/>
        <w:rPr>
          <w:sz w:val="24"/>
        </w:rPr>
      </w:pPr>
      <w:r>
        <w:rPr>
          <w:sz w:val="24"/>
        </w:rPr>
        <w:t>A number of strategies were considered to determine how BC Gas can best safeguard its corporate earnings from the effects of warmer-than-normal weather without tapping into the RSAM account.  The advantages and disadvantages of these strategies are discussed below.</w:t>
      </w:r>
    </w:p>
    <w:p>
      <w:pPr>
        <w:pStyle w:val="Normal"/>
        <w:spacing w:lineRule="auto" w:line="360"/>
        <w:rPr>
          <w:sz w:val="24"/>
        </w:rPr>
      </w:pPr>
      <w:r>
        <w:rPr>
          <w:sz w:val="24"/>
        </w:rPr>
      </w:r>
    </w:p>
    <w:p>
      <w:pPr>
        <w:pStyle w:val="Normal"/>
        <w:spacing w:lineRule="auto" w:line="360"/>
        <w:rPr>
          <w:sz w:val="24"/>
        </w:rPr>
      </w:pPr>
      <w:r>
        <w:rPr>
          <w:sz w:val="24"/>
        </w:rPr>
        <w:t>The HDD put option ensures that BC Gas corporate earnings are protected from warmer-than-normal weather, and that the customer’s downside is limited to the premium paid up-front to prepare the hedge.  The disadvantage is that in case of slightly warmer-than-normal weather (not exceeding the 79 HDD deductible), the option is not exercised, and hence the premium is a sunk cost.  In case of a colder-than-normal year, again, BC Gas would not exercise and would face a sunk premium cost; this premium, however, would be more than made up for by increased revenues.  This put option does not place a limit on the upside potential for BC Gas due to colder-than-normal weather.</w:t>
      </w:r>
    </w:p>
    <w:p>
      <w:pPr>
        <w:pStyle w:val="Normal"/>
        <w:spacing w:lineRule="auto" w:line="360"/>
        <w:rPr>
          <w:sz w:val="24"/>
        </w:rPr>
      </w:pPr>
      <w:r>
        <w:rPr>
          <w:sz w:val="24"/>
        </w:rPr>
        <w:t xml:space="preserve"> </w:t>
      </w:r>
    </w:p>
    <w:p>
      <w:pPr>
        <w:pStyle w:val="BodyText"/>
        <w:rPr/>
      </w:pPr>
      <w:r>
        <w:rPr/>
        <w:t>A costless collar, on the other hand, does not require a premium up-front and allows some downside and upside participation.  That is BC Gas could lose up to $3.8 million ([2779 minus 2770] times tick) or benefit by up to $10.1 million ([2990 minus 2779] times tick) if the temperature falls in the range of 2779 HDD and 2990 HDD.  There is no payoff from / to the parties in this range. Below 2700 HDD, BC Gas corporate earnings are protected by $48,000 per HDD up to a maximum amount of $16 million.  The call option, however, would enable the counterparty to collect a payoff of $48,000 per tick from BC Gas for a maximum of $16 million if temperature is colder than 2990 HDD.  This strategy would therefore be favoured if BC Gas chooses to tolerate some risk and does not want to engage in a payout transaction within the indicated HDD band.</w:t>
      </w:r>
    </w:p>
    <w:p>
      <w:pPr>
        <w:pStyle w:val="BodyText"/>
        <w:rPr/>
      </w:pPr>
      <w:r>
        <w:rPr/>
      </w:r>
    </w:p>
    <w:p>
      <w:pPr>
        <w:pStyle w:val="BodyText"/>
        <w:rPr/>
      </w:pPr>
      <w:r>
        <w:rPr/>
        <w:t xml:space="preserve">The Exchange-traded swap is not a viable option because of the illiquid nature of the CME HDD futures contracts.  Instead, an OTC swap can be written.  The OTC swap involves no premium, no basis risk, and results in a linear payoff, with both parties’ payoffs capped at $16 million.  </w:t>
      </w:r>
    </w:p>
    <w:p>
      <w:pPr>
        <w:pStyle w:val="BodyText"/>
        <w:rPr/>
      </w:pPr>
      <w:r>
        <w:rPr/>
      </w:r>
    </w:p>
    <w:p>
      <w:pPr>
        <w:pStyle w:val="BodyText"/>
        <w:rPr/>
      </w:pPr>
      <w:r>
        <w:rPr/>
        <w:t xml:space="preserve">The advantage of the fixed-price swap is that BC Gas corporate earnings are protected from warmer-than-normal weather even for 1 HDD, and there is no deductible.  The disadvantage is the loss of upside potential in terms of potential increased revenue as a result of colder-than-normal weather.  However, the market’s belief that weather should be colder than BC Gas’ estimate (2865 HDD versus 2779 HDD) should allow BC Gas to double up its earnings in the 2779 and 2865 HDD range; i.e., BC Gas is not required to pay Koch any compensation even if weather exceeds its budget of 2779, until it reaches 2865. </w:t>
      </w:r>
    </w:p>
    <w:p>
      <w:pPr>
        <w:pStyle w:val="BodyText"/>
        <w:rPr/>
      </w:pPr>
      <w:r>
        <w:rPr/>
      </w:r>
    </w:p>
    <w:p>
      <w:pPr>
        <w:pStyle w:val="BodyText"/>
        <w:rPr/>
      </w:pPr>
      <w:r>
        <w:rPr/>
        <w:t>Although credit risk has been mentioned as a factor in the choice of hedge strategies, Koch is currently enjoying AA+ credit rating and any OTC deal with Koch could be considered relatively safe.  The pros and cons of various strategies are summarized in the following Table.</w:t>
      </w:r>
    </w:p>
    <w:p>
      <w:pPr>
        <w:pStyle w:val="BodyText"/>
        <w:jc w:val="center"/>
        <w:rPr>
          <w:b/>
        </w:rPr>
      </w:pPr>
      <w:r>
        <w:rPr>
          <w:b/>
        </w:rPr>
        <w:t>Summary of Hedging Strategies</w:t>
      </w:r>
    </w:p>
    <w:tbl>
      <w:tblPr>
        <w:tblW w:w="9558" w:type="dxa"/>
        <w:jc w:val="start"/>
        <w:tblInd w:w="0" w:type="dxa"/>
        <w:tblLayout w:type="fixed"/>
        <w:tblCellMar>
          <w:top w:w="0" w:type="dxa"/>
          <w:start w:w="108" w:type="dxa"/>
          <w:bottom w:w="0" w:type="dxa"/>
          <w:end w:w="108" w:type="dxa"/>
        </w:tblCellMar>
      </w:tblPr>
      <w:tblGrid>
        <w:gridCol w:w="2448"/>
        <w:gridCol w:w="3060"/>
        <w:gridCol w:w="2970"/>
        <w:gridCol w:w="1080"/>
      </w:tblGrid>
      <w:tr>
        <w:trPr/>
        <w:tc>
          <w:tcPr>
            <w:tcW w:w="2448" w:type="dxa"/>
            <w:tcBorders>
              <w:top w:val="single" w:sz="4" w:space="0" w:color="000000"/>
              <w:start w:val="single" w:sz="4" w:space="0" w:color="000000"/>
              <w:bottom w:val="single" w:sz="4" w:space="0" w:color="000000"/>
              <w:end w:val="single" w:sz="4" w:space="0" w:color="000000"/>
            </w:tcBorders>
            <w:shd w:fill="D8D8D8" w:val="clear"/>
          </w:tcPr>
          <w:p>
            <w:pPr>
              <w:pStyle w:val="BodyText"/>
              <w:rPr>
                <w:b/>
              </w:rPr>
            </w:pPr>
            <w:r>
              <w:rPr>
                <w:b/>
              </w:rPr>
              <w:t>Hedging Technique</w:t>
            </w:r>
          </w:p>
        </w:tc>
        <w:tc>
          <w:tcPr>
            <w:tcW w:w="3060" w:type="dxa"/>
            <w:tcBorders>
              <w:top w:val="single" w:sz="4" w:space="0" w:color="000000"/>
              <w:start w:val="single" w:sz="4" w:space="0" w:color="000000"/>
              <w:bottom w:val="single" w:sz="4" w:space="0" w:color="000000"/>
              <w:end w:val="single" w:sz="4" w:space="0" w:color="000000"/>
            </w:tcBorders>
            <w:shd w:fill="D8D8D8" w:val="clear"/>
          </w:tcPr>
          <w:p>
            <w:pPr>
              <w:pStyle w:val="BodyText"/>
              <w:jc w:val="center"/>
              <w:rPr>
                <w:b/>
                <w:i/>
                <w:i/>
              </w:rPr>
            </w:pPr>
            <w:r>
              <w:rPr>
                <w:b/>
                <w:i/>
              </w:rPr>
              <w:t>Advantages</w:t>
            </w:r>
          </w:p>
        </w:tc>
        <w:tc>
          <w:tcPr>
            <w:tcW w:w="2970" w:type="dxa"/>
            <w:tcBorders>
              <w:top w:val="single" w:sz="4" w:space="0" w:color="000000"/>
              <w:start w:val="single" w:sz="4" w:space="0" w:color="000000"/>
              <w:bottom w:val="single" w:sz="4" w:space="0" w:color="000000"/>
              <w:end w:val="single" w:sz="4" w:space="0" w:color="000000"/>
            </w:tcBorders>
            <w:shd w:fill="D8D8D8" w:val="clear"/>
          </w:tcPr>
          <w:p>
            <w:pPr>
              <w:pStyle w:val="BodyText"/>
              <w:jc w:val="center"/>
              <w:rPr>
                <w:b/>
                <w:i/>
                <w:i/>
              </w:rPr>
            </w:pPr>
            <w:r>
              <w:rPr>
                <w:b/>
                <w:i/>
              </w:rPr>
              <w:t>Disadvantages</w:t>
            </w:r>
          </w:p>
        </w:tc>
        <w:tc>
          <w:tcPr>
            <w:tcW w:w="1080" w:type="dxa"/>
            <w:tcBorders>
              <w:top w:val="single" w:sz="4" w:space="0" w:color="000000"/>
              <w:start w:val="single" w:sz="4" w:space="0" w:color="000000"/>
              <w:bottom w:val="single" w:sz="4" w:space="0" w:color="000000"/>
              <w:end w:val="single" w:sz="4" w:space="0" w:color="000000"/>
            </w:tcBorders>
            <w:shd w:fill="D8D8D8" w:val="clear"/>
          </w:tcPr>
          <w:p>
            <w:pPr>
              <w:pStyle w:val="BodyText"/>
              <w:rPr>
                <w:b/>
                <w:i/>
                <w:i/>
              </w:rPr>
            </w:pPr>
            <w:r>
              <w:rPr>
                <w:b/>
                <w:i/>
              </w:rPr>
              <w:t>Ranking</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i/>
                <w:i/>
                <w:sz w:val="20"/>
                <w:u w:val="single"/>
              </w:rPr>
            </w:pPr>
            <w:r>
              <w:rPr>
                <w:i/>
                <w:sz w:val="20"/>
                <w:u w:val="single"/>
              </w:rPr>
              <w:t>Put Option (Type 1)</w:t>
            </w:r>
          </w:p>
          <w:p>
            <w:pPr>
              <w:pStyle w:val="BodyText"/>
              <w:rPr>
                <w:sz w:val="20"/>
              </w:rPr>
            </w:pPr>
            <w:r>
              <w:rPr>
                <w:sz w:val="20"/>
              </w:rPr>
              <w:t>Cap = $16 mil</w:t>
            </w:r>
          </w:p>
          <w:p>
            <w:pPr>
              <w:pStyle w:val="BodyText"/>
              <w:rPr>
                <w:sz w:val="20"/>
              </w:rPr>
            </w:pPr>
            <w:r>
              <w:rPr>
                <w:sz w:val="20"/>
              </w:rPr>
              <w:t>Premium = $1.6 mil</w:t>
            </w:r>
          </w:p>
          <w:p>
            <w:pPr>
              <w:pStyle w:val="BodyText"/>
              <w:rPr>
                <w:sz w:val="20"/>
              </w:rPr>
            </w:pPr>
            <w:r>
              <w:rPr>
                <w:sz w:val="20"/>
              </w:rPr>
              <w:t>Strike = 2700 HDD</w:t>
            </w:r>
          </w:p>
          <w:p>
            <w:pPr>
              <w:pStyle w:val="BodyText"/>
              <w:rPr>
                <w:sz w:val="20"/>
              </w:rPr>
            </w:pPr>
            <w:r>
              <w:rPr>
                <w:sz w:val="20"/>
              </w:rPr>
              <w:t>B/E Point = 2667 HDD</w:t>
            </w:r>
          </w:p>
        </w:tc>
        <w:tc>
          <w:tcPr>
            <w:tcW w:w="3060"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-protects corporate earnings</w:t>
            </w:r>
          </w:p>
          <w:p>
            <w:pPr>
              <w:pStyle w:val="BodyText"/>
              <w:rPr>
                <w:sz w:val="20"/>
              </w:rPr>
            </w:pPr>
            <w:r>
              <w:rPr>
                <w:sz w:val="20"/>
              </w:rPr>
              <w:t>-downside is capped</w:t>
            </w:r>
          </w:p>
          <w:p>
            <w:pPr>
              <w:pStyle w:val="BodyText"/>
              <w:rPr>
                <w:sz w:val="20"/>
              </w:rPr>
            </w:pPr>
            <w:r>
              <w:rPr>
                <w:sz w:val="20"/>
              </w:rPr>
              <w:t>-no upside cap (colder-than-normal weather)</w:t>
            </w:r>
          </w:p>
        </w:tc>
        <w:tc>
          <w:tcPr>
            <w:tcW w:w="2970"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-premium up-front</w:t>
            </w:r>
          </w:p>
          <w:p>
            <w:pPr>
              <w:pStyle w:val="BodyText"/>
              <w:rPr>
                <w:sz w:val="20"/>
              </w:rPr>
            </w:pPr>
            <w:r>
              <w:rPr>
                <w:sz w:val="20"/>
              </w:rPr>
              <w:t>-deductible (79 HDD)</w:t>
            </w:r>
          </w:p>
          <w:p>
            <w:pPr>
              <w:pStyle w:val="BodyText"/>
              <w:rPr>
                <w:sz w:val="20"/>
              </w:rPr>
            </w:pPr>
            <w:r>
              <w:rPr>
                <w:sz w:val="20"/>
              </w:rPr>
              <w:t>-possibility of no exercise</w:t>
            </w:r>
          </w:p>
          <w:p>
            <w:pPr>
              <w:pStyle w:val="BodyText"/>
              <w:rPr>
                <w:sz w:val="20"/>
              </w:rPr>
            </w:pPr>
            <w:r>
              <w:rPr>
                <w:sz w:val="20"/>
              </w:rPr>
              <w:t>-credit risk</w:t>
            </w:r>
          </w:p>
        </w:tc>
        <w:tc>
          <w:tcPr>
            <w:tcW w:w="1080" w:type="dxa"/>
            <w:tcBorders>
              <w:top w:val="single" w:sz="4" w:space="0" w:color="000000"/>
              <w:start w:val="single" w:sz="4" w:space="0" w:color="000000"/>
              <w:bottom w:val="single" w:sz="4" w:space="0" w:color="000000"/>
              <w:end w:val="single" w:sz="4" w:space="0" w:color="000000"/>
            </w:tcBorders>
          </w:tcPr>
          <w:p>
            <w:pPr>
              <w:pStyle w:val="BodyText"/>
              <w:jc w:val="center"/>
              <w:rPr>
                <w:sz w:val="20"/>
              </w:rPr>
            </w:pPr>
            <w:r>
              <w:rPr>
                <w:sz w:val="20"/>
              </w:rPr>
              <w:t>3</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i/>
                <w:i/>
                <w:sz w:val="20"/>
                <w:u w:val="single"/>
              </w:rPr>
            </w:pPr>
            <w:r>
              <w:rPr>
                <w:i/>
                <w:sz w:val="20"/>
                <w:u w:val="single"/>
              </w:rPr>
              <w:t>Put Option (Type 2)</w:t>
            </w:r>
          </w:p>
          <w:p>
            <w:pPr>
              <w:pStyle w:val="BodyText"/>
              <w:rPr>
                <w:sz w:val="20"/>
              </w:rPr>
            </w:pPr>
            <w:r>
              <w:rPr>
                <w:sz w:val="20"/>
              </w:rPr>
              <w:t>Cap = $9.6 mil</w:t>
            </w:r>
          </w:p>
          <w:p>
            <w:pPr>
              <w:pStyle w:val="BodyText"/>
              <w:rPr>
                <w:sz w:val="20"/>
              </w:rPr>
            </w:pPr>
            <w:r>
              <w:rPr>
                <w:sz w:val="20"/>
              </w:rPr>
              <w:t>Premium = $1.4 mil</w:t>
            </w:r>
          </w:p>
          <w:p>
            <w:pPr>
              <w:pStyle w:val="BodyText"/>
              <w:rPr>
                <w:sz w:val="20"/>
              </w:rPr>
            </w:pPr>
            <w:r>
              <w:rPr>
                <w:sz w:val="20"/>
              </w:rPr>
              <w:t>Strike = 2700 HDD</w:t>
            </w:r>
          </w:p>
          <w:p>
            <w:pPr>
              <w:pStyle w:val="BodyText"/>
              <w:rPr>
                <w:sz w:val="20"/>
              </w:rPr>
            </w:pPr>
            <w:r>
              <w:rPr>
                <w:sz w:val="20"/>
              </w:rPr>
              <w:t>B/E Point = 2670 HDD</w:t>
            </w:r>
          </w:p>
          <w:p>
            <w:pPr>
              <w:pStyle w:val="BodyText"/>
              <w:rPr>
                <w:sz w:val="20"/>
              </w:rPr>
            </w:pPr>
            <w:r>
              <w:rPr>
                <w:sz w:val="20"/>
              </w:rPr>
            </w:r>
          </w:p>
        </w:tc>
        <w:tc>
          <w:tcPr>
            <w:tcW w:w="3060"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-protects corporate earnings</w:t>
            </w:r>
          </w:p>
          <w:p>
            <w:pPr>
              <w:pStyle w:val="BodyText"/>
              <w:rPr>
                <w:sz w:val="20"/>
              </w:rPr>
            </w:pPr>
            <w:r>
              <w:rPr>
                <w:sz w:val="20"/>
              </w:rPr>
              <w:t>-downside is capped</w:t>
            </w:r>
          </w:p>
          <w:p>
            <w:pPr>
              <w:pStyle w:val="BodyText"/>
              <w:rPr>
                <w:sz w:val="20"/>
              </w:rPr>
            </w:pPr>
            <w:r>
              <w:rPr>
                <w:sz w:val="20"/>
              </w:rPr>
              <w:t>-no upside cap (colder-than-normal weather)</w:t>
            </w:r>
          </w:p>
          <w:p>
            <w:pPr>
              <w:pStyle w:val="BodyText"/>
              <w:rPr>
                <w:sz w:val="20"/>
              </w:rPr>
            </w:pPr>
            <w:r>
              <w:rPr>
                <w:sz w:val="20"/>
              </w:rPr>
              <w:t>-adequate protection (200)?</w:t>
            </w:r>
          </w:p>
        </w:tc>
        <w:tc>
          <w:tcPr>
            <w:tcW w:w="2970"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-premium up-front</w:t>
            </w:r>
          </w:p>
          <w:p>
            <w:pPr>
              <w:pStyle w:val="BodyText"/>
              <w:rPr>
                <w:sz w:val="20"/>
              </w:rPr>
            </w:pPr>
            <w:r>
              <w:rPr>
                <w:sz w:val="20"/>
              </w:rPr>
              <w:t>-deductible (79 HDD)</w:t>
            </w:r>
          </w:p>
          <w:p>
            <w:pPr>
              <w:pStyle w:val="BodyText"/>
              <w:rPr>
                <w:sz w:val="20"/>
              </w:rPr>
            </w:pPr>
            <w:r>
              <w:rPr>
                <w:sz w:val="20"/>
              </w:rPr>
              <w:t>-possibility of no exercise</w:t>
            </w:r>
          </w:p>
          <w:p>
            <w:pPr>
              <w:pStyle w:val="BodyText"/>
              <w:rPr>
                <w:sz w:val="20"/>
              </w:rPr>
            </w:pPr>
            <w:r>
              <w:rPr>
                <w:sz w:val="20"/>
              </w:rPr>
              <w:t>-credit risk</w:t>
            </w:r>
          </w:p>
        </w:tc>
        <w:tc>
          <w:tcPr>
            <w:tcW w:w="1080" w:type="dxa"/>
            <w:tcBorders>
              <w:top w:val="single" w:sz="4" w:space="0" w:color="000000"/>
              <w:start w:val="single" w:sz="4" w:space="0" w:color="000000"/>
              <w:bottom w:val="single" w:sz="4" w:space="0" w:color="000000"/>
              <w:end w:val="single" w:sz="4" w:space="0" w:color="000000"/>
            </w:tcBorders>
          </w:tcPr>
          <w:p>
            <w:pPr>
              <w:pStyle w:val="BodyText"/>
              <w:jc w:val="center"/>
              <w:rPr>
                <w:sz w:val="20"/>
              </w:rPr>
            </w:pPr>
            <w:r>
              <w:rPr>
                <w:sz w:val="20"/>
              </w:rPr>
              <w:t>4</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i/>
                <w:i/>
                <w:sz w:val="20"/>
                <w:u w:val="single"/>
              </w:rPr>
            </w:pPr>
            <w:r>
              <w:rPr>
                <w:i/>
                <w:sz w:val="20"/>
                <w:u w:val="single"/>
              </w:rPr>
              <w:t>Costless Collar</w:t>
            </w:r>
          </w:p>
          <w:p>
            <w:pPr>
              <w:pStyle w:val="BodyText"/>
              <w:rPr>
                <w:sz w:val="20"/>
              </w:rPr>
            </w:pPr>
            <w:r>
              <w:rPr>
                <w:sz w:val="20"/>
              </w:rPr>
              <w:t>Cap/Floor = $16 mil</w:t>
            </w:r>
          </w:p>
          <w:p>
            <w:pPr>
              <w:pStyle w:val="BodyText"/>
              <w:rPr>
                <w:sz w:val="20"/>
              </w:rPr>
            </w:pPr>
            <w:r>
              <w:rPr>
                <w:sz w:val="20"/>
              </w:rPr>
              <w:t>Put strike = 2700 HDD</w:t>
            </w:r>
          </w:p>
          <w:p>
            <w:pPr>
              <w:pStyle w:val="BodyText"/>
              <w:rPr>
                <w:sz w:val="20"/>
              </w:rPr>
            </w:pPr>
            <w:r>
              <w:rPr>
                <w:sz w:val="20"/>
              </w:rPr>
              <w:t>Call Strike = 2990 HDD</w:t>
            </w:r>
          </w:p>
        </w:tc>
        <w:tc>
          <w:tcPr>
            <w:tcW w:w="3060"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-no premium up-front</w:t>
            </w:r>
          </w:p>
          <w:p>
            <w:pPr>
              <w:pStyle w:val="BodyText"/>
              <w:rPr>
                <w:sz w:val="20"/>
              </w:rPr>
            </w:pPr>
            <w:r>
              <w:rPr>
                <w:sz w:val="20"/>
              </w:rPr>
              <w:t>-upside (2779-2990 HDD equivalent to $10.1 mil)</w:t>
            </w:r>
          </w:p>
        </w:tc>
        <w:tc>
          <w:tcPr>
            <w:tcW w:w="2970"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-credit risk</w:t>
            </w:r>
          </w:p>
          <w:p>
            <w:pPr>
              <w:pStyle w:val="BodyText"/>
              <w:rPr>
                <w:sz w:val="20"/>
              </w:rPr>
            </w:pPr>
            <w:r>
              <w:rPr>
                <w:sz w:val="20"/>
              </w:rPr>
              <w:t>-downside (2770-2779 HDD equivalent to $3.8 mil)</w:t>
            </w:r>
          </w:p>
        </w:tc>
        <w:tc>
          <w:tcPr>
            <w:tcW w:w="1080" w:type="dxa"/>
            <w:tcBorders>
              <w:top w:val="single" w:sz="4" w:space="0" w:color="000000"/>
              <w:start w:val="single" w:sz="4" w:space="0" w:color="000000"/>
              <w:bottom w:val="single" w:sz="4" w:space="0" w:color="000000"/>
              <w:end w:val="single" w:sz="4" w:space="0" w:color="000000"/>
            </w:tcBorders>
          </w:tcPr>
          <w:p>
            <w:pPr>
              <w:pStyle w:val="BodyText"/>
              <w:jc w:val="center"/>
              <w:rPr>
                <w:sz w:val="20"/>
              </w:rPr>
            </w:pPr>
            <w:r>
              <w:rPr>
                <w:sz w:val="20"/>
              </w:rPr>
              <w:t>2</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i/>
                <w:i/>
                <w:sz w:val="20"/>
                <w:u w:val="single"/>
              </w:rPr>
            </w:pPr>
            <w:r>
              <w:rPr>
                <w:i/>
                <w:sz w:val="20"/>
                <w:u w:val="single"/>
              </w:rPr>
              <w:t>OTC Swap</w:t>
            </w:r>
          </w:p>
          <w:p>
            <w:pPr>
              <w:pStyle w:val="BodyText"/>
              <w:rPr>
                <w:sz w:val="20"/>
              </w:rPr>
            </w:pPr>
            <w:r>
              <w:rPr>
                <w:sz w:val="20"/>
              </w:rPr>
              <w:t>Cap/Floor = $16 mil</w:t>
            </w:r>
          </w:p>
          <w:p>
            <w:pPr>
              <w:pStyle w:val="BodyText"/>
              <w:rPr>
                <w:sz w:val="20"/>
              </w:rPr>
            </w:pPr>
            <w:r>
              <w:rPr>
                <w:sz w:val="20"/>
              </w:rPr>
              <w:t>Strike = 2865 HDD</w:t>
            </w:r>
          </w:p>
        </w:tc>
        <w:tc>
          <w:tcPr>
            <w:tcW w:w="3060"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-stabilizes corporate earnings</w:t>
            </w:r>
          </w:p>
          <w:p>
            <w:pPr>
              <w:pStyle w:val="BodyText"/>
              <w:rPr>
                <w:sz w:val="20"/>
              </w:rPr>
            </w:pPr>
            <w:r>
              <w:rPr>
                <w:sz w:val="20"/>
              </w:rPr>
              <w:t>-upside potential (2779-2865 HDD equivalent to $4.1 mil)</w:t>
            </w:r>
          </w:p>
          <w:p>
            <w:pPr>
              <w:pStyle w:val="BodyText"/>
              <w:rPr>
                <w:sz w:val="20"/>
              </w:rPr>
            </w:pPr>
            <w:r>
              <w:rPr>
                <w:sz w:val="20"/>
              </w:rPr>
              <w:t>-no deductible</w:t>
            </w:r>
          </w:p>
          <w:p>
            <w:pPr>
              <w:pStyle w:val="BodyText"/>
              <w:rPr>
                <w:sz w:val="20"/>
              </w:rPr>
            </w:pPr>
            <w:r>
              <w:rPr>
                <w:sz w:val="20"/>
              </w:rPr>
              <w:t>-no premium up-front</w:t>
            </w:r>
          </w:p>
          <w:p>
            <w:pPr>
              <w:pStyle w:val="BodyText"/>
              <w:rPr>
                <w:sz w:val="20"/>
              </w:rPr>
            </w:pPr>
            <w:r>
              <w:rPr>
                <w:sz w:val="20"/>
              </w:rPr>
              <w:t>- no basis risk</w:t>
            </w:r>
          </w:p>
        </w:tc>
        <w:tc>
          <w:tcPr>
            <w:tcW w:w="2970"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-higher credit risk?</w:t>
            </w:r>
          </w:p>
          <w:p>
            <w:pPr>
              <w:pStyle w:val="BodyText"/>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BodyText"/>
              <w:jc w:val="center"/>
              <w:rPr>
                <w:sz w:val="20"/>
              </w:rPr>
            </w:pPr>
            <w:r>
              <w:rPr>
                <w:sz w:val="20"/>
              </w:rPr>
              <w:t>1</w:t>
            </w:r>
          </w:p>
        </w:tc>
      </w:tr>
    </w:tbl>
    <w:p>
      <w:pPr>
        <w:pStyle w:val="BodyText"/>
        <w:rPr/>
      </w:pPr>
      <w:r>
        <w:rPr/>
      </w:r>
    </w:p>
    <w:p>
      <w:pPr>
        <w:pStyle w:val="BodyText"/>
        <w:rPr/>
      </w:pPr>
      <w:r>
        <w:rPr/>
        <w:t>Figure 17 illustrates all of the hedging strategies considered, and Appendix 3 includes the relevant data.</w:t>
      </w:r>
    </w:p>
    <w:p>
      <w:pPr>
        <w:pStyle w:val="BodyText"/>
        <w:rPr/>
      </w:pPr>
      <w:r>
        <w:rPr/>
      </w:r>
    </w:p>
    <w:p>
      <w:pPr>
        <w:pStyle w:val="Normal"/>
        <w:spacing w:lineRule="auto" w:line="360"/>
        <w:rPr>
          <w:b/>
          <w:sz w:val="24"/>
        </w:rPr>
      </w:pPr>
      <w:r>
        <w:rPr>
          <w:b/>
          <w:sz w:val="24"/>
        </w:rPr>
        <w:t xml:space="preserve">RECOMMENDATIONS </w:t>
        <w:br/>
      </w:r>
    </w:p>
    <w:p>
      <w:pPr>
        <w:pStyle w:val="BodyText"/>
        <w:rPr/>
      </w:pPr>
      <w:r>
        <w:rPr/>
        <w:t xml:space="preserve">Continued coverage of the global climate change phenomenon and the recent experience with warmer-than-normal local weather should cause companies such as BC Gas to consider hedging against the impacts of warmer-than-normal weather.  Warm weather adversely affects corporate earnings of companies such as BC Gas, and hence net cash flow, by lowering the aggregate volume of natural gas consumed in a year.  There are advantages for BC Gas to use weather derivatives to hedge the risk of weather and smooth out its revenues to prevent wild variations in cash flow.  </w:t>
      </w:r>
    </w:p>
    <w:p>
      <w:pPr>
        <w:pStyle w:val="BodyText"/>
        <w:rPr/>
      </w:pPr>
      <w:r>
        <w:rPr/>
      </w:r>
    </w:p>
    <w:p>
      <w:pPr>
        <w:pStyle w:val="BodyText"/>
        <w:rPr/>
      </w:pPr>
      <w:r>
        <w:rPr/>
        <w:t xml:space="preserve">Cash flow is an important indicator of a firm’s value.  Cash flow management should improve BC Gas’ performance, and reduce its corporate risk.  Moreover, managing cash flow reduces the expected cost of financial distress by increasing BC Gas’ ability to generate business.  This is important to the future of BC Gas because of expected competition by commodity gas marketers selling to its residential and commercial customers, customers who have not had choice of supplier in the past. </w:t>
      </w:r>
    </w:p>
    <w:p>
      <w:pPr>
        <w:pStyle w:val="BodyText"/>
        <w:rPr/>
      </w:pPr>
      <w:r>
        <w:rPr/>
      </w:r>
    </w:p>
    <w:p>
      <w:pPr>
        <w:pStyle w:val="BodyText"/>
        <w:rPr/>
      </w:pPr>
      <w:r>
        <w:rPr/>
        <w:t xml:space="preserve">It is unlikely that BC Gas shareholders would endorse purchasing a put option to protect corporate earnings mainly because of the up-front premium requirement.  There is also no guarantee that this put option would be exercised.  The OTC swap and costless collar, which do not require an up-front premium, therefore, appear more favourable at the current state.  </w:t>
      </w:r>
    </w:p>
    <w:p>
      <w:pPr>
        <w:pStyle w:val="BodyText"/>
        <w:rPr/>
      </w:pPr>
      <w:r>
        <w:rPr/>
      </w:r>
    </w:p>
    <w:p>
      <w:pPr>
        <w:pStyle w:val="BodyText"/>
        <w:rPr/>
      </w:pPr>
      <w:r>
        <w:rPr/>
        <w:t>The costless collar strategy may not be the best hedge strategy because of the risk-averse nature of the BC gas shareholders.  That is, although this strategy allows for upside, there is also the risk of downside.</w:t>
      </w:r>
    </w:p>
    <w:p>
      <w:pPr>
        <w:pStyle w:val="BodyText"/>
        <w:rPr/>
      </w:pPr>
      <w:r>
        <w:rPr/>
      </w:r>
    </w:p>
    <w:p>
      <w:pPr>
        <w:pStyle w:val="BodyText"/>
        <w:rPr/>
      </w:pPr>
      <w:r>
        <w:rPr/>
        <w:t xml:space="preserve">The OTC swap has a higher probability of pay-out (even for a 1 HDD variation), and does allow for some upside (between 2779 HDD and 2865 HDD) without downside risk.  It is therefore believed that the OTC swap is the best hedging strategy for BC Gas at the current state.  However, BC Gas must be aware that market forecasts fluctuate and that the opportunity to take advantage of the upside at no risk and no premium may dissipate over time.  For example, a forecast towards the end of October, may place the swap strike at closer to 2779 HDD, thereby eliminating any easy payoff (free money) from the OTC swap. </w:t>
      </w:r>
    </w:p>
    <w:p>
      <w:pPr>
        <w:pStyle w:val="Normal"/>
        <w:spacing w:lineRule="auto" w:line="360"/>
        <w:rPr>
          <w:sz w:val="24"/>
        </w:rPr>
      </w:pPr>
      <w:r>
        <w:rPr>
          <w:sz w:val="24"/>
        </w:rPr>
      </w:r>
    </w:p>
    <w:p>
      <w:pPr>
        <w:pStyle w:val="Heading2"/>
        <w:spacing w:lineRule="auto" w:line="360"/>
        <w:ind w:hanging="0" w:start="0"/>
        <w:rPr/>
      </w:pPr>
      <w:r>
        <w:rPr/>
        <w:t>FURTHER RESEARCH</w:t>
      </w:r>
    </w:p>
    <w:p>
      <w:pPr>
        <w:pStyle w:val="Normal"/>
        <w:spacing w:lineRule="auto" w:line="360"/>
        <w:rPr>
          <w:sz w:val="24"/>
        </w:rPr>
      </w:pPr>
      <w:r>
        <w:rPr>
          <w:sz w:val="24"/>
        </w:rPr>
      </w:r>
    </w:p>
    <w:p>
      <w:pPr>
        <w:pStyle w:val="Normal"/>
        <w:spacing w:lineRule="auto" w:line="360"/>
        <w:rPr>
          <w:sz w:val="24"/>
        </w:rPr>
      </w:pPr>
      <w:r>
        <w:rPr>
          <w:sz w:val="24"/>
        </w:rPr>
        <w:t xml:space="preserve">This study has assumed that the entire year will be 10% warmer-than-normal.  A more comprehensive study should be undertaken to split the year into winter and summer months and to examine the effects of weather and the option strategies to mitigate the risk in the separate gas seasons, particularly during the shoulder seasons (i.e., autumn and spring).  Sensitivity of BC Gas margin could be studied for various portions of the year, and for different magnitudes of departure from normal weather, and applicable hedging strategies could be developed.   </w:t>
      </w:r>
    </w:p>
    <w:p>
      <w:pPr>
        <w:pStyle w:val="Normal"/>
        <w:spacing w:lineRule="auto" w:line="360"/>
        <w:rPr>
          <w:sz w:val="24"/>
        </w:rPr>
      </w:pPr>
      <w:r>
        <w:rPr>
          <w:sz w:val="24"/>
        </w:rPr>
      </w:r>
    </w:p>
    <w:p>
      <w:pPr>
        <w:pStyle w:val="BodyText2"/>
        <w:spacing w:lineRule="auto" w:line="360"/>
        <w:rPr/>
      </w:pPr>
      <w:r>
        <w:rPr/>
        <w:t>Future studies should also focus on the correlation between weather in Vancouver and Seattle.  According to Koch, the Vancouver market loses a significant amount of market efficiency due to illiquidity problem.  These studies should compare quotes from different OTC market makers in order to select the most competitive bids.  These quotes should be considered with respect to credit risk and the credit rating of the OTC dealers at the time the quote is received.</w:t>
      </w:r>
    </w:p>
    <w:p>
      <w:pPr>
        <w:pStyle w:val="BodyText2"/>
        <w:spacing w:lineRule="auto" w:line="360"/>
        <w:rPr/>
      </w:pPr>
      <w:r>
        <w:rPr/>
      </w:r>
    </w:p>
    <w:p>
      <w:pPr>
        <w:pStyle w:val="BodyText2"/>
        <w:spacing w:lineRule="auto" w:line="360"/>
        <w:rPr/>
      </w:pPr>
      <w:r>
        <w:rPr/>
        <w:t>The analysis in this report is based on a constant BC Gas margin tick of $48,000.  BC Gas could undertake a more detailed study to determine the true shape of the margin curve for temperatures above and below the budget target of 2779 HDD.  RSAM’s deficiencies (i.e. not involving Rate 5) could also be studied further to examine whether weather derivatives could entirely eliminate the need for RSAM.  This could help BC Gas in evaluating a suitable position involving any of the strategies discussed above over a wider range of possible temperatures.</w:t>
      </w:r>
    </w:p>
    <w:p>
      <w:pPr>
        <w:pStyle w:val="BodyText2"/>
        <w:spacing w:lineRule="auto" w:line="360"/>
        <w:rPr/>
      </w:pPr>
      <w:r>
        <w:rPr/>
      </w:r>
    </w:p>
    <w:p>
      <w:pPr>
        <w:pStyle w:val="BodyText"/>
        <w:rPr/>
      </w:pPr>
      <w:r>
        <w:rPr/>
        <w:t>A survey of BC Gas shareholders and clients should be conducted to test their willingness-to-pay for a premium to purchase put or call options.  Shareholders will be protected from warmer-than-normal weather by a put option, while BC Gas clients could benefit from the call option should colder-than-normal weather occur; i.e., the benefits could be passed on to the clients.  Customers could also be surveyed to find out if they prefer paying a premium (to purchase an option) to having their rates adjusted by RSAM from year to year.   This survey would enable BC Gas to select a suitable hedging strategy based on its shareholders’ and clients’ risk tolerance.</w:t>
      </w:r>
    </w:p>
    <w:p>
      <w:pPr>
        <w:pStyle w:val="BodyText"/>
        <w:rPr/>
      </w:pPr>
      <w:r>
        <w:rPr/>
      </w:r>
    </w:p>
    <w:p>
      <w:pPr>
        <w:pStyle w:val="BodyText"/>
        <w:rPr/>
      </w:pPr>
      <w:r>
        <w:rPr/>
      </w:r>
    </w:p>
    <w:p>
      <w:pPr>
        <w:pStyle w:val="BodyText"/>
        <w:rPr/>
      </w:pPr>
      <w:r>
        <w:rPr/>
      </w:r>
    </w:p>
    <w:p>
      <w:pPr>
        <w:pStyle w:val="Heading2"/>
        <w:spacing w:lineRule="auto" w:line="360"/>
        <w:ind w:hanging="0" w:start="0"/>
        <w:rPr/>
      </w:pPr>
      <w:r>
        <w:rPr/>
        <w:t>Prepared by:</w:t>
      </w:r>
      <w:r>
        <w:rPr>
          <w:b w:val="false"/>
        </w:rPr>
        <w:tab/>
        <w:tab/>
        <w:t xml:space="preserve">Fred Baloutch, P.Eng. </w:t>
      </w:r>
    </w:p>
    <w:sectPr>
      <w:headerReference w:type="default" r:id="rId2"/>
      <w:headerReference w:type="first" r:id="rId3"/>
      <w:footnotePr>
        <w:numFmt w:val="decimal"/>
      </w:footnotePr>
      <w:type w:val="nextPage"/>
      <w:pgSz w:w="12240" w:h="15840"/>
      <w:pgMar w:left="1800" w:right="1800" w:gutter="0" w:header="720" w:top="1440" w:footer="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taking of action by buyers or sellers to protect their businesses against a change in prices or weather.</w:t>
      </w:r>
    </w:p>
  </w:footnote>
  <w:footnote w:id="3">
    <w:p>
      <w:pPr>
        <w:pStyle w:val="Normal"/>
        <w:jc w:val="both"/>
        <w:rPr/>
      </w:pPr>
      <w:r>
        <w:rPr>
          <w:rStyle w:val="FootnoteCharacters"/>
        </w:rPr>
        <w:footnoteRef/>
      </w:r>
      <w:r>
        <w:rPr/>
        <w:t xml:space="preserve"> </w:t>
      </w:r>
      <w:r>
        <w:rPr/>
        <w:t>An OTC market operates through dealers, or “middlemen”, rather than through a formal exchange entity, such as NYMEX.  OTC market dealers stand ready to buy or sell a given security on request, providing to buyers and sellers the benefit of being able to perform immediately desired transactions, rather than having to expend the effort themselves to locate parties wishing to do business.</w:t>
      </w:r>
    </w:p>
  </w:footnote>
  <w:footnote w:id="4">
    <w:p>
      <w:pPr>
        <w:pStyle w:val="FootnoteText"/>
        <w:rPr/>
      </w:pPr>
      <w:r>
        <w:rPr>
          <w:rStyle w:val="FootnoteCharacters"/>
        </w:rPr>
        <w:footnoteRef/>
      </w:r>
      <w:r>
        <w:rPr/>
        <w:t xml:space="preserve"> </w:t>
      </w:r>
      <w:r>
        <w:rPr/>
        <w:t>A party engaged in bringing together buyers and sellers of natural gas, usually on a spot market basis.  Marketers earn revenue by assisting in buy/sell negotiations, and by arranging transportation and delivery terms.</w:t>
      </w:r>
    </w:p>
  </w:footnote>
  <w:footnote w:id="5">
    <w:p>
      <w:pPr>
        <w:pStyle w:val="FootnoteText"/>
        <w:rPr/>
      </w:pPr>
      <w:r>
        <w:rPr>
          <w:rStyle w:val="FootnoteCharacters"/>
        </w:rPr>
        <w:footnoteRef/>
      </w:r>
      <w:r>
        <w:rPr/>
        <w:t xml:space="preserve"> </w:t>
      </w:r>
      <w:r>
        <w:rPr/>
        <w:t>A participant in a swap transaction.</w:t>
      </w:r>
    </w:p>
  </w:footnote>
  <w:footnote w:id="6">
    <w:p>
      <w:pPr>
        <w:pStyle w:val="FootnoteText"/>
        <w:rPr/>
      </w:pPr>
      <w:r>
        <w:rPr>
          <w:rStyle w:val="FootnoteCharacters"/>
        </w:rPr>
        <w:footnoteRef/>
      </w:r>
      <w:r>
        <w:rPr/>
        <w:t xml:space="preserve"> </w:t>
      </w:r>
      <w:r>
        <w:rPr/>
        <w:t xml:space="preserve">Marking-to-market involves settlement of accounts based on spot prices against a posted margin. </w:t>
      </w:r>
    </w:p>
  </w:footnote>
  <w:footnote w:id="7">
    <w:p>
      <w:pPr>
        <w:pStyle w:val="FootnoteText"/>
        <w:rPr/>
      </w:pPr>
      <w:r>
        <w:rPr>
          <w:rStyle w:val="FootnoteCharacters"/>
        </w:rPr>
        <w:footnoteRef/>
      </w:r>
      <w:r>
        <w:rPr/>
        <w:t xml:space="preserve"> </w:t>
      </w:r>
      <w:r>
        <w:rPr/>
        <w:t>A primary product, such as copper, rubber, cotton, lumber, petroleum, and natural gas.</w:t>
      </w:r>
    </w:p>
  </w:footnote>
  <w:footnote w:id="8">
    <w:p>
      <w:pPr>
        <w:pStyle w:val="Normal"/>
        <w:jc w:val="both"/>
        <w:rPr/>
      </w:pPr>
      <w:r>
        <w:rPr>
          <w:rStyle w:val="FootnoteCharacters"/>
        </w:rPr>
        <w:footnoteRef/>
      </w:r>
      <w:r>
        <w:rPr/>
        <w:t xml:space="preserve"> </w:t>
      </w:r>
      <w:r>
        <w:rPr/>
        <w:t>A firm engaged in the transportation of natural gas either intra-provincially, inter-provincially, or internationally.  Examples of major Canadian natural gas pipeline companies are TransCanada Pipelines Ltd. and Westcoast Energy Inc.</w:t>
      </w:r>
    </w:p>
  </w:footnote>
  <w:footnote w:id="9">
    <w:p>
      <w:pPr>
        <w:pStyle w:val="Normal"/>
        <w:jc w:val="both"/>
        <w:rPr>
          <w:rStyle w:val="FootnoteCharacters"/>
        </w:rPr>
      </w:pPr>
      <w:r>
        <w:rPr>
          <w:rStyle w:val="FootnoteCharacters"/>
        </w:rPr>
        <w:footnoteRef/>
      </w:r>
      <w:r>
        <w:rPr/>
        <w:t xml:space="preserve"> </w:t>
      </w:r>
      <w:r>
        <w:rPr/>
        <w:t>Refers to the infrastructure consisting of gas mains, service connection, meters, and other equipment that carry or control the supply of natural gas from the point of local supply to and including the sales meters at the point of customer usage.</w:t>
      </w:r>
    </w:p>
    <w:p>
      <w:pPr>
        <w:pStyle w:val="Normal"/>
        <w:jc w:val="both"/>
        <w:rPr/>
      </w:pPr>
      <w:r>
        <w:rPr>
          <w:rStyle w:val="FootnoteCharacters"/>
        </w:rPr>
        <w:t>9</w:t>
      </w:r>
      <w:r>
        <w:rPr/>
        <w:t xml:space="preserve"> A company which obtains the majority of its revenues from operating a retail distribution system to deliver natural gas to energy end-users.  BC Gas is an example of a LDC.</w:t>
      </w:r>
    </w:p>
  </w:footnote>
  <w:footnote w:id="10">
    <w:p>
      <w:pPr>
        <w:pStyle w:val="Normal"/>
        <w:jc w:val="both"/>
        <w:rPr/>
      </w:pPr>
      <w:r>
        <w:rPr>
          <w:rStyle w:val="FootnoteCharacters"/>
        </w:rPr>
        <w:footnoteRef/>
      </w:r>
      <w:r>
        <w:rPr/>
      </w:r>
    </w:p>
  </w:footnote>
  <w:footnote w:id="11">
    <w:p>
      <w:pPr>
        <w:pStyle w:val="Normal"/>
        <w:jc w:val="both"/>
        <w:rPr/>
      </w:pPr>
      <w:r>
        <w:rPr>
          <w:rStyle w:val="FootnoteCharacters"/>
        </w:rPr>
        <w:footnoteRef/>
      </w:r>
      <w:r>
        <w:rPr/>
        <w:t xml:space="preserve"> </w:t>
      </w:r>
      <w:r>
        <w:rPr/>
        <w:t>A party which has been given authority by natural gas buyer to act on the buyer’s behalf to arrange or administer pipeline service, gas sales services, or both.</w:t>
      </w:r>
    </w:p>
  </w:footnote>
  <w:footnote w:id="12">
    <w:p>
      <w:pPr>
        <w:pStyle w:val="FootnoteText"/>
        <w:rPr/>
      </w:pPr>
      <w:r>
        <w:rPr>
          <w:rStyle w:val="FootnoteCharacters"/>
        </w:rPr>
        <w:footnoteRef/>
      </w:r>
      <w:r>
        <w:rPr/>
        <w:t xml:space="preserve"> </w:t>
      </w:r>
      <w:r>
        <w:rPr/>
        <w:t>A party which earns profit by arranging transactions between willing buyers and sellers of natural gas.  Brokers never take ownership of the natural gas during the course of such transactions.</w:t>
      </w:r>
    </w:p>
  </w:footnote>
  <w:footnote w:id="13">
    <w:p>
      <w:pPr>
        <w:pStyle w:val="Normal"/>
        <w:jc w:val="both"/>
        <w:rPr/>
      </w:pPr>
      <w:r>
        <w:rPr>
          <w:rStyle w:val="FootnoteCharacters"/>
        </w:rPr>
        <w:footnoteRef/>
      </w:r>
      <w:r>
        <w:rPr/>
        <w:t xml:space="preserve"> </w:t>
      </w:r>
      <w:r>
        <w:rPr/>
        <w:t>An interchange where multiple pipelines interconnect and form a market centre.  The major hub in B.C. is at Huntingdon/Sumas in the Fraser Valley, east of Vancouver.  The Henry Hub in southern Louisiana acts as the delivery point for the NYMEX natural gas forwards market.</w:t>
      </w:r>
    </w:p>
  </w:footnote>
  <w:footnote w:id="14">
    <w:p>
      <w:pPr>
        <w:pStyle w:val="FootnoteText"/>
        <w:rPr/>
      </w:pPr>
      <w:r>
        <w:rPr>
          <w:rStyle w:val="FootnoteCharacters"/>
        </w:rPr>
        <w:footnoteRef/>
      </w:r>
      <w:r>
        <w:rPr/>
        <w:t xml:space="preserve"> </w:t>
      </w:r>
      <w:r>
        <w:rPr/>
        <w:t>In the context of the natural gas industry, the NYMEX futures contract refers to North America’s first natural gas exchange established in 1990.  The contract prices at NYMEX reflect the physical delivery of gas at the Henry Hub in southern Louisiana on the Gulf of Mexico.  This location was selected as the U.S. Gulf of Mexico accounts for such a large proportion of North American natural gas production, currently in the neighbourhood of 22 percent.</w:t>
      </w:r>
    </w:p>
  </w:footnote>
  <w:footnote w:id="15">
    <w:p>
      <w:pPr>
        <w:pStyle w:val="Normal"/>
        <w:jc w:val="both"/>
        <w:rPr/>
      </w:pPr>
      <w:r>
        <w:rPr>
          <w:rStyle w:val="FootnoteCharacters"/>
        </w:rPr>
        <w:footnoteRef/>
      </w:r>
      <w:r>
        <w:rPr/>
        <w:t xml:space="preserve"> </w:t>
      </w:r>
      <w:r>
        <w:rPr/>
        <w:t>The sequence of future yields corresponding to the floating reference rates on a swap.  Forward curves exist for all widely traded commodities.  Such curves reflect commitments to buy or sell an underlying asset at prices and times specified beforehand.</w:t>
      </w:r>
    </w:p>
  </w:footnote>
  <w:footnote w:id="16">
    <w:p>
      <w:pPr>
        <w:pStyle w:val="FootnoteText"/>
        <w:rPr/>
      </w:pPr>
      <w:r>
        <w:rPr>
          <w:rStyle w:val="FootnoteCharacters"/>
        </w:rPr>
        <w:footnoteRef/>
      </w:r>
      <w:r>
        <w:rPr/>
        <w:t xml:space="preserve"> </w:t>
      </w:r>
      <w:r>
        <w:rPr/>
        <w:t>Includes transport rate for small commercial</w:t>
      </w:r>
    </w:p>
  </w:footnote>
  <w:footnote w:id="17">
    <w:p>
      <w:pPr>
        <w:pStyle w:val="FootnoteText"/>
        <w:rPr/>
      </w:pPr>
      <w:r>
        <w:rPr>
          <w:rStyle w:val="FootnoteCharacters"/>
        </w:rPr>
        <w:footnoteRef/>
      </w:r>
      <w:r>
        <w:rPr/>
        <w:t xml:space="preserve"> </w:t>
      </w:r>
      <w:r>
        <w:rPr/>
        <w:t>A day’s average temperature is calculated as the average of the day’s maximum and minimum temperature on a midnight-to-midnight basis.</w:t>
      </w:r>
    </w:p>
  </w:footnote>
  <w:footnote w:id="18">
    <w:p>
      <w:pPr>
        <w:pStyle w:val="FootnoteText"/>
        <w:rPr/>
      </w:pPr>
      <w:r>
        <w:rPr>
          <w:rStyle w:val="FootnoteCharacters"/>
        </w:rPr>
        <w:footnoteRef/>
      </w:r>
      <w:r>
        <w:rPr/>
        <w:t xml:space="preserve"> </w:t>
      </w:r>
      <w:r>
        <w:rPr/>
        <w:t xml:space="preserve">The 65 degrees Fahrenheit is used as benchmark because many years ago, that was the temperature at which the furnaces would be switched on.  Now, it is assumed that consumers would use more energy to heat their homes for each degree day below 65 degrees and they would use more energy to operate their air conditioners for each degree day above the benchmark.  </w:t>
      </w:r>
    </w:p>
  </w:footnote>
  <w:footnote w:id="19">
    <w:p>
      <w:pPr>
        <w:pStyle w:val="FootnoteText"/>
        <w:rPr/>
      </w:pPr>
      <w:r>
        <w:rPr>
          <w:rStyle w:val="FootnoteCharacters"/>
        </w:rPr>
        <w:footnoteRef/>
      </w:r>
      <w:r>
        <w:rPr/>
        <w:t xml:space="preserve"> </w:t>
      </w:r>
      <w:r>
        <w:rPr/>
        <w:t>Daily HDD = Max (0, 65 degrees Fahrenheit – daily average temperature)</w:t>
      </w:r>
    </w:p>
  </w:footnote>
  <w:footnote w:id="20">
    <w:p>
      <w:pPr>
        <w:pStyle w:val="FootnoteText"/>
        <w:rPr/>
      </w:pPr>
      <w:r>
        <w:rPr>
          <w:rStyle w:val="FootnoteCharacters"/>
        </w:rPr>
        <w:footnoteRef/>
      </w:r>
      <w:r>
        <w:rPr/>
        <w:t xml:space="preserve"> </w:t>
      </w:r>
      <w:r>
        <w:rPr/>
        <w:t>Daily CDD = Max (0, daily average temperature – 65 degrees Fahrenheit)</w:t>
      </w:r>
    </w:p>
  </w:footnote>
  <w:footnote w:id="21">
    <w:p>
      <w:pPr>
        <w:pStyle w:val="Normal"/>
        <w:jc w:val="both"/>
        <w:rPr/>
      </w:pPr>
      <w:r>
        <w:rPr>
          <w:rStyle w:val="FootnoteCharacters"/>
        </w:rPr>
        <w:footnoteRef/>
      </w:r>
      <w:r>
        <w:rPr/>
        <w:t xml:space="preserve"> </w:t>
      </w:r>
      <w:r>
        <w:rPr/>
        <w:t>A commitment to buy (long) or sell (short) an underlying asset at a specified date at a price specified at the time the contract is made.  The price is known as the exercise or forward price.</w:t>
      </w:r>
    </w:p>
  </w:footnote>
  <w:footnote w:id="22">
    <w:p>
      <w:pPr>
        <w:pStyle w:val="BodyText3"/>
        <w:rPr/>
      </w:pPr>
      <w:r>
        <w:rPr>
          <w:rStyle w:val="FootnoteCharacters"/>
        </w:rPr>
        <w:footnoteRef/>
      </w:r>
      <w:r>
        <w:rPr/>
        <w:t xml:space="preserve"> </w:t>
      </w:r>
      <w:r>
        <w:rPr/>
        <w:t>A portfolio of forward contracts.  A swap is nearly identical to a sequence of forward contracts at different maturity dates.  Swaps can be tailored to fit the needs of a particular counterparty.</w:t>
      </w:r>
    </w:p>
  </w:footnote>
  <w:footnote w:id="23">
    <w:p>
      <w:pPr>
        <w:pStyle w:val="FootnoteText"/>
        <w:rPr/>
      </w:pPr>
      <w:r>
        <w:rPr>
          <w:rStyle w:val="FootnoteCharacters"/>
        </w:rPr>
        <w:footnoteRef/>
      </w:r>
      <w:r>
        <w:rPr/>
        <w:t xml:space="preserve"> </w:t>
      </w:r>
      <w:r>
        <w:rPr/>
        <w:t>By convention, the 12-month period from the start of the winter heating season of on year on November 1 to the end of the following gas summer on October 31.</w:t>
      </w:r>
    </w:p>
  </w:footnote>
  <w:footnote w:id="24">
    <w:p>
      <w:pPr>
        <w:pStyle w:val="Normal"/>
        <w:jc w:val="both"/>
        <w:rPr/>
      </w:pPr>
      <w:r>
        <w:rPr>
          <w:rStyle w:val="FootnoteCharacters"/>
        </w:rPr>
        <w:footnoteRef/>
      </w:r>
      <w:r>
        <w:rPr/>
        <w:t xml:space="preserve"> </w:t>
      </w:r>
      <w:r>
        <w:rPr/>
        <w:t>The position of a party who has purchased and is holding futures or options contracts or who owns a commodity that has not yet been settled by sale or delivery conditions.</w:t>
      </w:r>
    </w:p>
  </w:footnote>
  <w:footnote w:id="25">
    <w:p>
      <w:pPr>
        <w:pStyle w:val="Normal"/>
        <w:jc w:val="both"/>
        <w:rPr/>
      </w:pPr>
      <w:r>
        <w:rPr>
          <w:rStyle w:val="FootnoteCharacters"/>
        </w:rPr>
        <w:footnoteRef/>
      </w:r>
      <w:r>
        <w:rPr/>
        <w:t xml:space="preserve"> </w:t>
      </w:r>
      <w:r>
        <w:rPr/>
        <w:t>A party is in a short position when they have sold a commodity that they do not own with the expectation that they will be able to purchase it later at a lower price.  A short sale is a contract for the sale of something not owned by the seller, such as a commodity or a futures contract.</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t>Weather Derivatives at BC Gas –September 2000</w:t>
    </w:r>
    <w:r>
      <mc:AlternateContent>
        <mc:Choice Requires="wps">
          <w:drawing>
            <wp:anchor behindDoc="0" distT="0" distB="0" distL="0" distR="0" simplePos="0" locked="0" layoutInCell="0" allowOverlap="1" relativeHeight="22">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i/>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outlineLvl w:val="4"/>
    </w:pPr>
    <w:rPr>
      <w:b/>
      <w:sz w:val="24"/>
      <w:u w:val="single"/>
    </w:rPr>
  </w:style>
  <w:style w:type="paragraph" w:styleId="Heading6">
    <w:name w:val="heading 6"/>
    <w:basedOn w:val="Normal"/>
    <w:next w:val="Normal"/>
    <w:qFormat/>
    <w:pPr>
      <w:keepNext w:val="true"/>
      <w:numPr>
        <w:ilvl w:val="5"/>
        <w:numId w:val="1"/>
      </w:numPr>
      <w:spacing w:lineRule="auto" w:line="360"/>
      <w:outlineLvl w:val="5"/>
    </w:pPr>
    <w:rPr>
      <w:sz w:val="24"/>
    </w:rPr>
  </w:style>
  <w:style w:type="paragraph" w:styleId="Heading7">
    <w:name w:val="heading 7"/>
    <w:basedOn w:val="Normal"/>
    <w:next w:val="Normal"/>
    <w:qFormat/>
    <w:pPr>
      <w:keepNext w:val="true"/>
      <w:numPr>
        <w:ilvl w:val="6"/>
        <w:numId w:val="1"/>
      </w:numPr>
      <w:spacing w:lineRule="auto" w:line="360"/>
      <w:jc w:val="center"/>
      <w:outlineLvl w:val="6"/>
    </w:pPr>
    <w:rPr>
      <w:b/>
      <w:sz w:val="24"/>
      <w:u w:val="single"/>
    </w:rPr>
  </w:style>
  <w:style w:type="paragraph" w:styleId="Heading8">
    <w:name w:val="heading 8"/>
    <w:basedOn w:val="Normal"/>
    <w:next w:val="Normal"/>
    <w:qFormat/>
    <w:pPr>
      <w:keepNext w:val="true"/>
      <w:numPr>
        <w:ilvl w:val="7"/>
        <w:numId w:val="1"/>
      </w:numPr>
      <w:spacing w:lineRule="auto" w:line="360"/>
      <w:jc w:val="center"/>
      <w:outlineLvl w:val="7"/>
    </w:pPr>
    <w:rPr>
      <w:sz w:val="24"/>
    </w:rPr>
  </w:style>
  <w:style w:type="paragraph" w:styleId="Heading9">
    <w:name w:val="heading 9"/>
    <w:basedOn w:val="Normal"/>
    <w:next w:val="Normal"/>
    <w:qFormat/>
    <w:pPr>
      <w:keepNext w:val="true"/>
      <w:numPr>
        <w:ilvl w:val="8"/>
        <w:numId w:val="1"/>
      </w:numPr>
      <w:spacing w:lineRule="auto" w:line="360"/>
      <w:outlineLvl w:val="8"/>
    </w:pPr>
    <w:rPr>
      <w:i/>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b/>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rPr>
  </w:style>
  <w:style w:type="paragraph" w:styleId="EndnoteText">
    <w:name w:val="endnote text"/>
    <w:basedOn w:val="Normal"/>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3">
    <w:name w:val="Body Text 3"/>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2001-02-19T17:41:00Z</dcterms:created>
  <dc:creator>FBaloutc</dc:creator>
  <dc:description/>
  <dc:language>en-CA</dc:language>
  <cp:lastModifiedBy>Doug Reddy</cp:lastModifiedBy>
  <cp:lastPrinted>2000-08-25T11:35:00Z</cp:lastPrinted>
  <dcterms:modified xsi:type="dcterms:W3CDTF">2001-09-17T02:55:00Z</dcterms:modified>
  <cp:revision>4</cp:revision>
  <dc:subject/>
  <dc:title>OUTLINE – WEATHER DERIVATIVES</dc:title>
</cp:coreProperties>
</file>