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Peter:  In the interest of accurate delegation, I have asked that the labor / employment counsel from Blake Cassels, focus on some specific issues in the course of their due diligence analysis and summation.  </w:t>
      </w:r>
    </w:p>
    <w:p>
      <w:pPr>
        <w:pStyle w:val="Normal"/>
        <w:rPr/>
      </w:pPr>
      <w:r>
        <w:rPr/>
        <w:t>Specifically:  Randy Kaardal</w:t>
      </w:r>
    </w:p>
    <w:p>
      <w:pPr>
        <w:pStyle w:val="Normal"/>
        <w:numPr>
          <w:ilvl w:val="0"/>
          <w:numId w:val="2"/>
        </w:numPr>
        <w:rPr/>
      </w:pPr>
      <w:r>
        <w:rPr/>
        <w:t xml:space="preserve">In addition to a comprehensive analysis of the Mackenzie Collective Agreement, Randy has been asked to expand his inquiry into the attending Letters of Intent and Memorandums of Understanding.  Rationale - Under the pattern agreement bargaining practices, approximately 1/3 of the terms and conditions in these Collective Agreements result from local negotiations creating Letters of Understanding, Bargaining Clarifications and Memorandums, which attend the Collective Agreement and represent material terms and conditions of employment. The remaining portions of the labor contracts are determined as part of an industry pattern.  Falcon was the target employer for the pattern agreement in the last pattern negotiation.  Falcon endured a lengthy strike and significant changes in the pattern. The local terms represent a critical amount of due diligence.  </w:t>
      </w:r>
    </w:p>
    <w:p>
      <w:pPr>
        <w:pStyle w:val="Normal"/>
        <w:numPr>
          <w:ilvl w:val="0"/>
          <w:numId w:val="4"/>
        </w:numPr>
        <w:rPr/>
      </w:pPr>
      <w:r>
        <w:rPr/>
        <w:t xml:space="preserve">We are attempting to secure each of the appropriate collective agreements – The Data room copy of the collective agreement is in theory “representative”.  However, both Randy and I believe detailed evaluation of the local area standards are necessary.  </w:t>
      </w:r>
    </w:p>
    <w:p>
      <w:pPr>
        <w:pStyle w:val="Normal"/>
        <w:numPr>
          <w:ilvl w:val="0"/>
          <w:numId w:val="4"/>
        </w:numPr>
        <w:rPr/>
      </w:pPr>
      <w:r>
        <w:rPr/>
        <w:t xml:space="preserve">Employment Issues – A comprehensive evaluation of the Executive Severance Agreement is warranted.  The cost potentials as well as the time period the agreements cover are issues of concern.  The Supplemental Pension Plan benefit available to this population is as matters of course, an un-funded liability.  </w:t>
      </w:r>
    </w:p>
    <w:p>
      <w:pPr>
        <w:pStyle w:val="Normal"/>
        <w:numPr>
          <w:ilvl w:val="0"/>
          <w:numId w:val="4"/>
        </w:numPr>
        <w:rPr/>
      </w:pPr>
      <w:r>
        <w:rPr/>
        <w:t>Benefit / liability obligations that emanate from prior employee reduction initiatives undertaken by the target are of material interest.</w:t>
      </w:r>
    </w:p>
    <w:p>
      <w:pPr>
        <w:pStyle w:val="Normal"/>
        <w:numPr>
          <w:ilvl w:val="0"/>
          <w:numId w:val="4"/>
        </w:numPr>
        <w:rPr/>
      </w:pPr>
      <w:r>
        <w:rPr/>
        <w:t>Successor obligations that have been assumed – prior transaction – Employment liability / Labor issues</w:t>
      </w:r>
    </w:p>
    <w:p>
      <w:pPr>
        <w:pStyle w:val="Normal"/>
        <w:numPr>
          <w:ilvl w:val="0"/>
          <w:numId w:val="4"/>
        </w:numPr>
        <w:rPr/>
      </w:pPr>
      <w:r>
        <w:rPr/>
        <w:t xml:space="preserve">Successor obligations from RIF programs initiated by the target reflect a $34 million implementation estimate – The plan is phased to conclude 4 Qtr 2000.  Are their any other residual liabilities?   </w:t>
      </w:r>
    </w:p>
    <w:p>
      <w:pPr>
        <w:pStyle w:val="Normal"/>
        <w:numPr>
          <w:ilvl w:val="0"/>
          <w:numId w:val="4"/>
        </w:numPr>
        <w:rPr/>
      </w:pPr>
      <w:r>
        <w:rPr/>
        <w:t>Approximately $ 2 million is listed as “employee interest free loans” (Nov 99 tally)</w:t>
      </w:r>
    </w:p>
    <w:p>
      <w:pPr>
        <w:pStyle w:val="Normal"/>
        <w:numPr>
          <w:ilvl w:val="0"/>
          <w:numId w:val="4"/>
        </w:numPr>
        <w:rPr/>
      </w:pPr>
      <w:r>
        <w:rPr/>
        <w:t xml:space="preserve">A Brief synopsis of the Provincial Labor Code and the Employment Standards Act the generally govern when staffing reduction or facility closure is being contemplated.   </w:t>
      </w:r>
    </w:p>
    <w:p>
      <w:pPr>
        <w:pStyle w:val="Normal"/>
        <w:rPr/>
      </w:pPr>
      <w:r>
        <w:rPr/>
        <w:t xml:space="preserve">Specifically:  Bill Maclagan </w:t>
      </w:r>
    </w:p>
    <w:p>
      <w:pPr>
        <w:pStyle w:val="Normal"/>
        <w:numPr>
          <w:ilvl w:val="0"/>
          <w:numId w:val="1"/>
        </w:numPr>
        <w:rPr/>
      </w:pPr>
      <w:r>
        <w:rPr/>
        <w:t xml:space="preserve">I have asked Bill to focus on the Summary Plan Documents (SPDs) of the two (or more) defined benefit pension plans currently known to exist.  Preliminary reviews of actuarial reports prompt this request.  </w:t>
      </w:r>
    </w:p>
    <w:p>
      <w:pPr>
        <w:pStyle w:val="Normal"/>
        <w:numPr>
          <w:ilvl w:val="0"/>
          <w:numId w:val="1"/>
        </w:numPr>
        <w:rPr/>
      </w:pPr>
      <w:r>
        <w:rPr/>
        <w:t xml:space="preserve">Bill also has been asked to render an opinion on the effects of the merged defined benefit and defined contribution pensions into one specific plan (Jan 94) as to layers or segregation of benefit liability. </w:t>
      </w:r>
    </w:p>
    <w:p>
      <w:pPr>
        <w:pStyle w:val="Normal"/>
        <w:numPr>
          <w:ilvl w:val="0"/>
          <w:numId w:val="1"/>
        </w:numPr>
        <w:rPr/>
      </w:pPr>
      <w:r>
        <w:rPr/>
        <w:t>Given that the Union plan appears to have a significant funding shortfall – the issue to be analyzed includes what can be done with the apparent surplus on the Salaried Pension Plans.</w:t>
      </w:r>
    </w:p>
    <w:p>
      <w:pPr>
        <w:pStyle w:val="Normal"/>
        <w:numPr>
          <w:ilvl w:val="0"/>
          <w:numId w:val="1"/>
        </w:numPr>
        <w:rPr/>
      </w:pPr>
      <w:r>
        <w:rPr/>
        <w:t>What are the pension contribution estimates going forward for each plan.</w:t>
      </w:r>
    </w:p>
    <w:p>
      <w:pPr>
        <w:pStyle w:val="Normal"/>
        <w:rPr/>
      </w:pPr>
      <w:r>
        <w:rPr/>
        <w:t xml:space="preserve">Collectively: </w:t>
      </w:r>
    </w:p>
    <w:p>
      <w:pPr>
        <w:pStyle w:val="Normal"/>
        <w:numPr>
          <w:ilvl w:val="0"/>
          <w:numId w:val="3"/>
        </w:numPr>
        <w:tabs>
          <w:tab w:val="clear" w:pos="720"/>
          <w:tab w:val="left" w:pos="540" w:leader="none"/>
        </w:tabs>
        <w:ind w:hanging="360" w:start="540" w:end="0"/>
        <w:rPr/>
      </w:pPr>
      <w:r>
        <w:rPr/>
        <w:t>I have asked both Bill and Randy to structure their respective reviews and summaries according to Union - Non-union populations.  In addition, I have requested that where/when it can be determined, the differences between facility specific populations or compensation specific populations are identified.</w:t>
      </w:r>
    </w:p>
    <w:p>
      <w:pPr>
        <w:pStyle w:val="Normal"/>
        <w:ind w:start="180" w:end="0"/>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2000-09-19T09:36:00Z</dcterms:created>
  <dc:creator>rjohnson</dc:creator>
  <dc:description/>
  <dc:language>en-CA</dc:language>
  <cp:lastModifiedBy>rjohnso</cp:lastModifiedBy>
  <dcterms:modified xsi:type="dcterms:W3CDTF">2000-09-19T09:36:00Z</dcterms:modified>
  <cp:revision>2</cp:revision>
  <dc:subject/>
  <dc:title>Peter:  In the interest of accurate delegation, I have asked that the labor / employment counsel from Blake Cassels, focus on some specific issues in the course of their due diligence analysis and summation</dc:title>
</cp:coreProperties>
</file>