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BEFORE THE PUBLIC UTILITIES COMMISSION</w:t>
      </w:r>
    </w:p>
    <w:p>
      <w:pPr>
        <w:pStyle w:val="Normal"/>
        <w:jc w:val="center"/>
        <w:rPr>
          <w:b/>
          <w:sz w:val="24"/>
        </w:rPr>
      </w:pPr>
      <w:r>
        <w:rPr>
          <w:b/>
          <w:sz w:val="24"/>
        </w:rPr>
        <w:t>OF THE STATE OF CALIFORNIA</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t>In the Matter of the Application of</w:t>
        <w:tab/>
        <w:tab/>
        <w:tab/>
        <w:t>)</w:t>
      </w:r>
    </w:p>
    <w:p>
      <w:pPr>
        <w:pStyle w:val="Normal"/>
        <w:rPr>
          <w:sz w:val="24"/>
        </w:rPr>
      </w:pPr>
      <w:r>
        <w:rPr>
          <w:sz w:val="24"/>
        </w:rPr>
        <w:t>Southern California Gas Company (U 904G)</w:t>
        <w:tab/>
        <w:tab/>
        <w:t>)</w:t>
      </w:r>
    </w:p>
    <w:p>
      <w:pPr>
        <w:pStyle w:val="Normal"/>
        <w:rPr>
          <w:sz w:val="24"/>
        </w:rPr>
      </w:pPr>
      <w:r>
        <w:rPr>
          <w:sz w:val="24"/>
        </w:rPr>
        <w:t>For Authority to Revise its Rates Effective</w:t>
        <w:tab/>
        <w:tab/>
        <w:t>)</w:t>
      </w:r>
    </w:p>
    <w:p>
      <w:pPr>
        <w:pStyle w:val="Normal"/>
        <w:rPr>
          <w:sz w:val="24"/>
        </w:rPr>
      </w:pPr>
      <w:r>
        <w:rPr>
          <w:sz w:val="24"/>
        </w:rPr>
        <w:t xml:space="preserve">January 1, 2001, in its Biennial Cost Allocation </w:t>
        <w:tab/>
        <w:t>)</w:t>
        <w:tab/>
        <w:t>Application 01-09-024</w:t>
      </w:r>
    </w:p>
    <w:p>
      <w:pPr>
        <w:pStyle w:val="Normal"/>
        <w:rPr>
          <w:sz w:val="24"/>
        </w:rPr>
      </w:pPr>
      <w:r>
        <w:rPr>
          <w:sz w:val="24"/>
        </w:rPr>
        <w:t>Proceeding.</w:t>
        <w:tab/>
        <w:tab/>
        <w:tab/>
        <w:tab/>
        <w:tab/>
        <w:tab/>
        <w:t>)</w:t>
      </w:r>
    </w:p>
    <w:p>
      <w:pPr>
        <w:pStyle w:val="Normal"/>
        <w:rPr>
          <w:sz w:val="24"/>
        </w:rPr>
      </w:pPr>
      <w:r>
        <w:rPr>
          <w:sz w:val="24"/>
        </w:rPr>
        <w:tab/>
        <w:tab/>
        <w:tab/>
        <w:tab/>
        <w:tab/>
        <w:tab/>
        <w:tab/>
        <w:t>)</w:t>
      </w:r>
    </w:p>
    <w:p>
      <w:pPr>
        <w:pStyle w:val="Normal"/>
        <w:rPr>
          <w:sz w:val="24"/>
        </w:rPr>
      </w:pPr>
      <w:r>
        <w:rPr>
          <w:sz w:val="24"/>
        </w:rPr>
        <w:t>__________________________________________)</w:t>
      </w:r>
    </w:p>
    <w:p>
      <w:pPr>
        <w:pStyle w:val="Normal"/>
        <w:rPr>
          <w:sz w:val="24"/>
        </w:rPr>
      </w:pPr>
      <w:r>
        <w:rPr>
          <w:sz w:val="24"/>
        </w:rPr>
        <w:tab/>
        <w:tab/>
        <w:tab/>
        <w:tab/>
        <w:tab/>
        <w:tab/>
        <w:tab/>
        <w:t>)</w:t>
      </w:r>
    </w:p>
    <w:p>
      <w:pPr>
        <w:pStyle w:val="Normal"/>
        <w:rPr>
          <w:sz w:val="24"/>
        </w:rPr>
      </w:pPr>
      <w:r>
        <w:rPr>
          <w:sz w:val="24"/>
        </w:rPr>
        <w:t>In the Matter of the Application of</w:t>
        <w:tab/>
        <w:tab/>
        <w:tab/>
        <w:t>)</w:t>
      </w:r>
    </w:p>
    <w:p>
      <w:pPr>
        <w:pStyle w:val="Normal"/>
        <w:rPr>
          <w:sz w:val="24"/>
        </w:rPr>
      </w:pPr>
      <w:r>
        <w:rPr>
          <w:sz w:val="24"/>
        </w:rPr>
        <w:t>San Diego Gas &amp; Electric Company (902 G)</w:t>
        <w:tab/>
        <w:tab/>
        <w:t>)</w:t>
      </w:r>
    </w:p>
    <w:p>
      <w:pPr>
        <w:pStyle w:val="Normal"/>
        <w:rPr>
          <w:sz w:val="24"/>
        </w:rPr>
      </w:pPr>
      <w:r>
        <w:rPr>
          <w:sz w:val="24"/>
        </w:rPr>
        <w:t>For Authority to Revise its Gas Rates Effective</w:t>
        <w:tab/>
        <w:t>)</w:t>
        <w:tab/>
        <w:t>Application 01-10-005</w:t>
      </w:r>
    </w:p>
    <w:p>
      <w:pPr>
        <w:pStyle w:val="Normal"/>
        <w:rPr>
          <w:sz w:val="24"/>
        </w:rPr>
      </w:pPr>
      <w:r>
        <w:rPr>
          <w:sz w:val="24"/>
        </w:rPr>
        <w:t>January 1, 2003, in its Biennial Cost Allocation</w:t>
        <w:tab/>
        <w:t>)</w:t>
      </w:r>
    </w:p>
    <w:p>
      <w:pPr>
        <w:pStyle w:val="Normal"/>
        <w:rPr>
          <w:sz w:val="24"/>
        </w:rPr>
      </w:pPr>
      <w:r>
        <w:rPr>
          <w:sz w:val="24"/>
        </w:rPr>
        <w:t>Proceeding.</w:t>
        <w:tab/>
        <w:tab/>
        <w:tab/>
        <w:tab/>
        <w:tab/>
        <w:tab/>
        <w:t>)</w:t>
      </w:r>
    </w:p>
    <w:p>
      <w:pPr>
        <w:pStyle w:val="Normal"/>
        <w:rPr>
          <w:sz w:val="24"/>
        </w:rPr>
      </w:pPr>
      <w:r>
        <w:rPr>
          <w:sz w:val="24"/>
        </w:rPr>
        <w:t>__________________________________________)</w:t>
      </w:r>
    </w:p>
    <w:p>
      <w:pPr>
        <w:pStyle w:val="Heading1"/>
        <w:ind w:hanging="0" w:start="0"/>
        <w:rPr/>
      </w:pPr>
      <w:r>
        <w:rPr/>
        <w:t xml:space="preserve"> </w:t>
      </w:r>
    </w:p>
    <w:p>
      <w:pPr>
        <w:pStyle w:val="Heading1"/>
        <w:ind w:hanging="0" w:start="0"/>
        <w:jc w:val="center"/>
        <w:rPr>
          <w:b/>
        </w:rPr>
      </w:pPr>
      <w:r>
        <w:rPr>
          <w:b/>
        </w:rPr>
        <w:t xml:space="preserve">PREHEARING CONFERENCE STATEMENT OF </w:t>
      </w:r>
    </w:p>
    <w:p>
      <w:pPr>
        <w:pStyle w:val="Heading3"/>
        <w:ind w:start="720" w:end="0"/>
        <w:rPr/>
      </w:pPr>
      <w:r>
        <w:rPr/>
        <w:t xml:space="preserve">              </w:t>
      </w:r>
      <w:r>
        <w:rPr/>
        <w:t>THE MEET AND CONFER PARTIES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start="4320" w:end="0"/>
        <w:rPr>
          <w:sz w:val="24"/>
        </w:rPr>
      </w:pPr>
      <w:r>
        <w:rPr>
          <w:sz w:val="24"/>
        </w:rPr>
        <w:t>JEFFREY M. PARROTT</w:t>
      </w:r>
    </w:p>
    <w:p>
      <w:pPr>
        <w:pStyle w:val="Normal"/>
        <w:ind w:start="4320" w:end="0"/>
        <w:rPr>
          <w:sz w:val="24"/>
        </w:rPr>
      </w:pPr>
      <w:r>
        <w:rPr>
          <w:sz w:val="24"/>
        </w:rPr>
        <w:t>STACY VAN GOOR</w:t>
      </w:r>
    </w:p>
    <w:p>
      <w:pPr>
        <w:pStyle w:val="Normal"/>
        <w:ind w:start="4320" w:end="0"/>
        <w:rPr>
          <w:sz w:val="24"/>
        </w:rPr>
      </w:pPr>
      <w:r>
        <w:rPr>
          <w:sz w:val="24"/>
        </w:rPr>
        <w:t>101 Ash Street, HQ13</w:t>
      </w:r>
    </w:p>
    <w:p>
      <w:pPr>
        <w:pStyle w:val="Normal"/>
        <w:ind w:start="4320" w:end="0"/>
        <w:rPr>
          <w:sz w:val="24"/>
        </w:rPr>
      </w:pPr>
      <w:r>
        <w:rPr>
          <w:sz w:val="24"/>
        </w:rPr>
        <w:t>San Diego, CA  92101</w:t>
      </w:r>
    </w:p>
    <w:p>
      <w:pPr>
        <w:pStyle w:val="Normal"/>
        <w:ind w:start="4320" w:end="0"/>
        <w:rPr>
          <w:sz w:val="24"/>
        </w:rPr>
      </w:pPr>
      <w:r>
        <w:rPr>
          <w:sz w:val="24"/>
        </w:rPr>
        <w:t>Telephone:  619-699-5063</w:t>
      </w:r>
    </w:p>
    <w:p>
      <w:pPr>
        <w:pStyle w:val="Normal"/>
        <w:ind w:start="4320" w:end="0"/>
        <w:rPr>
          <w:sz w:val="24"/>
        </w:rPr>
      </w:pPr>
      <w:r>
        <w:rPr>
          <w:sz w:val="24"/>
        </w:rPr>
        <w:t>Facsimile:  619-699-5027</w:t>
      </w:r>
    </w:p>
    <w:p>
      <w:pPr>
        <w:pStyle w:val="Normal"/>
        <w:ind w:start="4320" w:end="0"/>
        <w:rPr/>
      </w:pPr>
      <w:r>
        <w:rPr>
          <w:sz w:val="24"/>
        </w:rPr>
        <w:t>E-mail:</w:t>
        <w:tab/>
      </w:r>
      <w:hyperlink r:id="rId2">
        <w:r>
          <w:rPr>
            <w:rStyle w:val="Hyperlink"/>
            <w:sz w:val="24"/>
          </w:rPr>
          <w:t>jparrott@sempra</w:t>
        </w:r>
      </w:hyperlink>
      <w:r>
        <w:rPr>
          <w:sz w:val="24"/>
        </w:rPr>
        <w:t>.com</w:t>
      </w:r>
    </w:p>
    <w:p>
      <w:pPr>
        <w:pStyle w:val="Normal"/>
        <w:ind w:firstLine="720" w:start="4320" w:end="0"/>
        <w:rPr>
          <w:sz w:val="24"/>
        </w:rPr>
      </w:pPr>
      <w:r>
        <w:rPr>
          <w:sz w:val="24"/>
        </w:rPr>
        <w:t>svangoor@sempra.com</w:t>
      </w:r>
    </w:p>
    <w:p>
      <w:pPr>
        <w:pStyle w:val="Normal"/>
        <w:rPr>
          <w:sz w:val="24"/>
        </w:rPr>
      </w:pPr>
      <w:r>
        <w:rPr>
          <w:sz w:val="24"/>
        </w:rPr>
      </w:r>
    </w:p>
    <w:p>
      <w:pPr>
        <w:pStyle w:val="Normal"/>
        <w:ind w:start="4320" w:end="0"/>
        <w:rPr>
          <w:sz w:val="24"/>
        </w:rPr>
      </w:pPr>
      <w:r>
        <w:rPr>
          <w:sz w:val="24"/>
        </w:rPr>
        <w:t xml:space="preserve">Attorneys for: </w:t>
      </w:r>
    </w:p>
    <w:p>
      <w:pPr>
        <w:pStyle w:val="Normal"/>
        <w:ind w:start="4320" w:end="0"/>
        <w:rPr>
          <w:sz w:val="24"/>
        </w:rPr>
      </w:pPr>
      <w:r>
        <w:rPr>
          <w:sz w:val="24"/>
        </w:rPr>
        <w:t>SOUTHERN CALIFORNIA GAS COMPANY</w:t>
      </w:r>
    </w:p>
    <w:p>
      <w:pPr>
        <w:pStyle w:val="Normal"/>
        <w:ind w:firstLine="720" w:start="3600" w:end="0"/>
        <w:rPr>
          <w:sz w:val="24"/>
        </w:rPr>
      </w:pPr>
      <w:r>
        <w:rPr>
          <w:sz w:val="24"/>
        </w:rPr>
      </w:r>
    </w:p>
    <w:p>
      <w:pPr>
        <w:pStyle w:val="Normal"/>
        <w:rPr>
          <w:sz w:val="24"/>
        </w:rPr>
      </w:pPr>
      <w:r>
        <w:rPr>
          <w:sz w:val="24"/>
        </w:rPr>
        <w:t>November 21,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BEFORE THE PUBLIC UTILITIES COMMISSION</w:t>
      </w:r>
    </w:p>
    <w:p>
      <w:pPr>
        <w:pStyle w:val="Normal"/>
        <w:jc w:val="center"/>
        <w:rPr>
          <w:b/>
          <w:sz w:val="24"/>
        </w:rPr>
      </w:pPr>
      <w:r>
        <w:rPr>
          <w:b/>
          <w:sz w:val="24"/>
        </w:rPr>
        <w:t>OF THE STATE OF CALIFORNIA</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t>In the Matter of the Application of</w:t>
        <w:tab/>
        <w:tab/>
        <w:tab/>
        <w:t>)</w:t>
      </w:r>
    </w:p>
    <w:p>
      <w:pPr>
        <w:pStyle w:val="Normal"/>
        <w:rPr>
          <w:sz w:val="24"/>
        </w:rPr>
      </w:pPr>
      <w:r>
        <w:rPr>
          <w:sz w:val="24"/>
        </w:rPr>
        <w:t>Southern California Gas Company (U 904G)</w:t>
        <w:tab/>
        <w:tab/>
        <w:t>)</w:t>
      </w:r>
    </w:p>
    <w:p>
      <w:pPr>
        <w:pStyle w:val="Normal"/>
        <w:rPr>
          <w:sz w:val="24"/>
        </w:rPr>
      </w:pPr>
      <w:r>
        <w:rPr>
          <w:sz w:val="24"/>
        </w:rPr>
        <w:t>For Authority to Revise its Rates Effective</w:t>
        <w:tab/>
        <w:tab/>
        <w:t>)</w:t>
      </w:r>
    </w:p>
    <w:p>
      <w:pPr>
        <w:pStyle w:val="Normal"/>
        <w:rPr>
          <w:sz w:val="24"/>
        </w:rPr>
      </w:pPr>
      <w:r>
        <w:rPr>
          <w:sz w:val="24"/>
        </w:rPr>
        <w:t xml:space="preserve">January 1, 2001, in its Biennial Cost Allocation </w:t>
        <w:tab/>
        <w:t>)</w:t>
        <w:tab/>
        <w:t>Application 01-09-024</w:t>
      </w:r>
    </w:p>
    <w:p>
      <w:pPr>
        <w:pStyle w:val="Normal"/>
        <w:rPr>
          <w:sz w:val="24"/>
        </w:rPr>
      </w:pPr>
      <w:r>
        <w:rPr>
          <w:sz w:val="24"/>
        </w:rPr>
        <w:t>Proceeding.</w:t>
        <w:tab/>
        <w:tab/>
        <w:tab/>
        <w:tab/>
        <w:tab/>
        <w:tab/>
        <w:t>)</w:t>
      </w:r>
    </w:p>
    <w:p>
      <w:pPr>
        <w:pStyle w:val="Normal"/>
        <w:rPr>
          <w:sz w:val="24"/>
        </w:rPr>
      </w:pPr>
      <w:r>
        <w:rPr>
          <w:sz w:val="24"/>
        </w:rPr>
        <w:tab/>
        <w:tab/>
        <w:tab/>
        <w:tab/>
        <w:tab/>
        <w:tab/>
        <w:tab/>
        <w:t>)</w:t>
      </w:r>
    </w:p>
    <w:p>
      <w:pPr>
        <w:pStyle w:val="Normal"/>
        <w:rPr>
          <w:sz w:val="24"/>
        </w:rPr>
      </w:pPr>
      <w:r>
        <w:rPr>
          <w:sz w:val="24"/>
        </w:rPr>
        <w:t>__________________________________________)</w:t>
      </w:r>
    </w:p>
    <w:p>
      <w:pPr>
        <w:pStyle w:val="Normal"/>
        <w:rPr>
          <w:sz w:val="24"/>
        </w:rPr>
      </w:pPr>
      <w:r>
        <w:rPr>
          <w:sz w:val="24"/>
        </w:rPr>
        <w:tab/>
        <w:tab/>
        <w:tab/>
        <w:tab/>
        <w:tab/>
        <w:tab/>
        <w:tab/>
        <w:t>)</w:t>
      </w:r>
    </w:p>
    <w:p>
      <w:pPr>
        <w:pStyle w:val="Normal"/>
        <w:rPr>
          <w:sz w:val="24"/>
        </w:rPr>
      </w:pPr>
      <w:r>
        <w:rPr>
          <w:sz w:val="24"/>
        </w:rPr>
        <w:t>In the Matter of the Application of</w:t>
        <w:tab/>
        <w:tab/>
        <w:tab/>
        <w:t>)</w:t>
      </w:r>
    </w:p>
    <w:p>
      <w:pPr>
        <w:pStyle w:val="Normal"/>
        <w:rPr>
          <w:sz w:val="24"/>
        </w:rPr>
      </w:pPr>
      <w:r>
        <w:rPr>
          <w:sz w:val="24"/>
        </w:rPr>
        <w:t>San Diego Gas &amp; Electric Company (902 G)</w:t>
        <w:tab/>
        <w:tab/>
        <w:t>)</w:t>
      </w:r>
    </w:p>
    <w:p>
      <w:pPr>
        <w:pStyle w:val="Normal"/>
        <w:rPr>
          <w:sz w:val="24"/>
        </w:rPr>
      </w:pPr>
      <w:r>
        <w:rPr>
          <w:sz w:val="24"/>
        </w:rPr>
        <w:t>For Authority to Revise its Gas Rates Effective</w:t>
        <w:tab/>
        <w:t>)</w:t>
        <w:tab/>
        <w:t>Application 01-10-005</w:t>
      </w:r>
    </w:p>
    <w:p>
      <w:pPr>
        <w:pStyle w:val="Normal"/>
        <w:rPr>
          <w:sz w:val="24"/>
        </w:rPr>
      </w:pPr>
      <w:r>
        <w:rPr>
          <w:sz w:val="24"/>
        </w:rPr>
        <w:t>January 1, 2003, in its Biennial Cost Allocation</w:t>
        <w:tab/>
        <w:t>)</w:t>
      </w:r>
    </w:p>
    <w:p>
      <w:pPr>
        <w:pStyle w:val="Normal"/>
        <w:rPr>
          <w:sz w:val="24"/>
        </w:rPr>
      </w:pPr>
      <w:r>
        <w:rPr>
          <w:sz w:val="24"/>
        </w:rPr>
        <w:t>Proceeding.</w:t>
        <w:tab/>
        <w:tab/>
        <w:tab/>
        <w:tab/>
        <w:tab/>
        <w:tab/>
        <w:t>)</w:t>
      </w:r>
    </w:p>
    <w:p>
      <w:pPr>
        <w:pStyle w:val="Normal"/>
        <w:rPr>
          <w:sz w:val="24"/>
        </w:rPr>
      </w:pPr>
      <w:r>
        <w:rPr>
          <w:sz w:val="24"/>
        </w:rPr>
        <w:t>__________________________________________)</w:t>
      </w:r>
    </w:p>
    <w:p>
      <w:pPr>
        <w:pStyle w:val="Heading1"/>
        <w:ind w:hanging="0" w:start="0"/>
        <w:rPr/>
      </w:pPr>
      <w:r>
        <w:rPr/>
        <w:t xml:space="preserve"> </w:t>
      </w:r>
    </w:p>
    <w:p>
      <w:pPr>
        <w:pStyle w:val="Heading1"/>
        <w:ind w:hanging="0" w:start="0"/>
        <w:jc w:val="center"/>
        <w:rPr>
          <w:b/>
        </w:rPr>
      </w:pPr>
      <w:r>
        <w:rPr>
          <w:b/>
        </w:rPr>
        <w:t xml:space="preserve">PREHEARING CONFERENCE STATEMENT OF </w:t>
      </w:r>
    </w:p>
    <w:p>
      <w:pPr>
        <w:pStyle w:val="Heading3"/>
        <w:ind w:start="720" w:end="0"/>
        <w:rPr/>
      </w:pPr>
      <w:r>
        <w:rPr/>
        <w:t xml:space="preserve">             </w:t>
      </w:r>
      <w:r>
        <w:rPr/>
        <w:t>THE MEET AND CONFER PARTIES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spacing w:lineRule="auto" w:line="480"/>
        <w:rPr/>
      </w:pPr>
      <w:r>
        <w:rPr>
          <w:sz w:val="24"/>
        </w:rPr>
        <w:tab/>
        <w:t>Pursuant to the Ruling of Administrative Law Judge Brown dated November 5, 2001, and consistent with Rule 49 of the California Public Utilities Commission’s (“Commission”) Rules of Practice and Procedure, the “Meet and Confer Parties”</w:t>
      </w:r>
      <w:r>
        <w:rPr>
          <w:rStyle w:val="FootnoteCharacters"/>
          <w:rStyle w:val="FootnoteReference"/>
          <w:sz w:val="24"/>
        </w:rPr>
        <w:footnoteReference w:id="2"/>
      </w:r>
      <w:r>
        <w:rPr>
          <w:sz w:val="24"/>
        </w:rPr>
        <w:t xml:space="preserve"> provide this prehearing conference (“PHC”) statement in this consolidated proceeding.  As directed in ALJ Brown’s Ruling, on November 14, 2001 SoCalGas and SDG&amp;E </w:t>
      </w:r>
    </w:p>
    <w:p>
      <w:pPr>
        <w:pStyle w:val="Normal"/>
        <w:spacing w:lineRule="auto" w:line="480"/>
        <w:rPr>
          <w:sz w:val="24"/>
        </w:rPr>
      </w:pPr>
      <w:r>
        <w:rPr>
          <w:sz w:val="24"/>
        </w:rPr>
        <w:t xml:space="preserve"> </w:t>
      </w:r>
      <w:r>
        <w:rPr>
          <w:sz w:val="24"/>
        </w:rPr>
        <w:t xml:space="preserve">sponsored a “meet and confer” at the Opera Plaza Building, 601 Van Ness Avenue, San Francisco from 9:00 A.M. to Noon with a call-in telephone conference call number for those parties who could not attend in person.  Consistent with the Ruling of ALJ Brown, the focus of the meet and confer was on the schedule for the proceeding and the scope of issues.  Both SoCalGas and SDG&amp;E described briefly the contents of their respective Applications, with SoCalGas also describing the contents of its Amendment.  The Meet and Confer Parties were able to reach agreement on a proposed schedule and, given the early stage of this proceeding, the initial scope. </w:t>
      </w:r>
    </w:p>
    <w:p>
      <w:pPr>
        <w:pStyle w:val="Normal"/>
        <w:spacing w:lineRule="auto" w:line="480"/>
        <w:rPr>
          <w:sz w:val="24"/>
        </w:rPr>
      </w:pPr>
      <w:r>
        <w:rPr>
          <w:sz w:val="24"/>
        </w:rPr>
      </w:r>
    </w:p>
    <w:p>
      <w:pPr>
        <w:pStyle w:val="Normal"/>
        <w:jc w:val="center"/>
        <w:rPr>
          <w:b/>
          <w:sz w:val="24"/>
        </w:rPr>
      </w:pPr>
      <w:r>
        <w:rPr>
          <w:b/>
          <w:sz w:val="24"/>
        </w:rPr>
        <w:t>I.</w:t>
      </w:r>
    </w:p>
    <w:p>
      <w:pPr>
        <w:pStyle w:val="Normal"/>
        <w:jc w:val="center"/>
        <w:rPr>
          <w:sz w:val="24"/>
        </w:rPr>
      </w:pPr>
      <w:r>
        <w:rPr>
          <w:b/>
          <w:sz w:val="24"/>
        </w:rPr>
        <w:t>SCHEDULE FOR THIS PROCEEDING</w:t>
      </w:r>
    </w:p>
    <w:p>
      <w:pPr>
        <w:pStyle w:val="Normal"/>
        <w:ind w:firstLine="720" w:end="0"/>
        <w:rPr>
          <w:sz w:val="24"/>
        </w:rPr>
      </w:pPr>
      <w:r>
        <w:rPr>
          <w:sz w:val="24"/>
        </w:rPr>
      </w:r>
    </w:p>
    <w:p>
      <w:pPr>
        <w:pStyle w:val="Normal"/>
        <w:spacing w:lineRule="auto" w:line="480"/>
        <w:ind w:firstLine="720" w:end="0"/>
        <w:rPr>
          <w:sz w:val="24"/>
        </w:rPr>
      </w:pPr>
      <w:r>
        <w:rPr>
          <w:sz w:val="24"/>
        </w:rPr>
        <w:t>The Meet and Confer Parties agreed on the following proposed schedule, which may require modification from time to time depending upon further Commission action in other relevant proceedings (discussed further below):</w:t>
      </w:r>
    </w:p>
    <w:p>
      <w:pPr>
        <w:pStyle w:val="Normal"/>
        <w:numPr>
          <w:ilvl w:val="0"/>
          <w:numId w:val="2"/>
        </w:numPr>
        <w:spacing w:lineRule="auto" w:line="360"/>
        <w:rPr>
          <w:sz w:val="24"/>
        </w:rPr>
      </w:pPr>
      <w:r>
        <w:rPr>
          <w:sz w:val="24"/>
        </w:rPr>
        <w:t>Initial Prehearing Conference</w:t>
        <w:tab/>
        <w:tab/>
        <w:tab/>
        <w:tab/>
        <w:tab/>
        <w:t>December 4, 2001</w:t>
      </w:r>
    </w:p>
    <w:p>
      <w:pPr>
        <w:pStyle w:val="Normal"/>
        <w:numPr>
          <w:ilvl w:val="0"/>
          <w:numId w:val="2"/>
        </w:numPr>
        <w:spacing w:lineRule="auto" w:line="360"/>
        <w:rPr>
          <w:sz w:val="24"/>
        </w:rPr>
      </w:pPr>
      <w:r>
        <w:rPr>
          <w:sz w:val="24"/>
        </w:rPr>
        <w:t>ORA serves testimony</w:t>
        <w:tab/>
        <w:tab/>
        <w:tab/>
        <w:tab/>
        <w:tab/>
        <w:tab/>
        <w:t>March 22, 2002</w:t>
        <w:tab/>
      </w:r>
    </w:p>
    <w:p>
      <w:pPr>
        <w:pStyle w:val="Normal"/>
        <w:numPr>
          <w:ilvl w:val="0"/>
          <w:numId w:val="2"/>
        </w:numPr>
        <w:spacing w:lineRule="auto" w:line="360"/>
        <w:rPr>
          <w:sz w:val="24"/>
        </w:rPr>
      </w:pPr>
      <w:r>
        <w:rPr>
          <w:sz w:val="24"/>
        </w:rPr>
        <w:t>Intervenors serve testimony</w:t>
        <w:tab/>
        <w:tab/>
        <w:tab/>
        <w:tab/>
        <w:tab/>
        <w:t>April 19, 2002</w:t>
      </w:r>
    </w:p>
    <w:p>
      <w:pPr>
        <w:pStyle w:val="Normal"/>
        <w:numPr>
          <w:ilvl w:val="0"/>
          <w:numId w:val="2"/>
        </w:numPr>
        <w:spacing w:lineRule="auto" w:line="360"/>
        <w:rPr>
          <w:sz w:val="24"/>
        </w:rPr>
      </w:pPr>
      <w:r>
        <w:rPr>
          <w:sz w:val="24"/>
        </w:rPr>
        <w:t>Rebuttal testimony served by all parties</w:t>
        <w:tab/>
        <w:tab/>
        <w:tab/>
        <w:tab/>
        <w:t>May 10, 2002</w:t>
      </w:r>
    </w:p>
    <w:p>
      <w:pPr>
        <w:pStyle w:val="Normal"/>
        <w:numPr>
          <w:ilvl w:val="0"/>
          <w:numId w:val="2"/>
        </w:numPr>
        <w:spacing w:lineRule="auto" w:line="360"/>
        <w:rPr>
          <w:sz w:val="24"/>
        </w:rPr>
      </w:pPr>
      <w:r>
        <w:rPr>
          <w:sz w:val="24"/>
        </w:rPr>
        <w:t>Pre-trial Prehearing Conference</w:t>
        <w:tab/>
        <w:tab/>
        <w:tab/>
        <w:tab/>
        <w:tab/>
        <w:t>May 16, 2002</w:t>
      </w:r>
    </w:p>
    <w:p>
      <w:pPr>
        <w:pStyle w:val="Normal"/>
        <w:numPr>
          <w:ilvl w:val="0"/>
          <w:numId w:val="2"/>
        </w:numPr>
        <w:spacing w:lineRule="auto" w:line="360"/>
        <w:rPr>
          <w:sz w:val="24"/>
        </w:rPr>
      </w:pPr>
      <w:r>
        <w:rPr>
          <w:sz w:val="24"/>
        </w:rPr>
        <w:t>Hearings begin</w:t>
        <w:tab/>
        <w:tab/>
        <w:tab/>
        <w:tab/>
        <w:tab/>
        <w:tab/>
        <w:tab/>
        <w:t>May 21, 2002</w:t>
      </w:r>
    </w:p>
    <w:p>
      <w:pPr>
        <w:pStyle w:val="Normal"/>
        <w:numPr>
          <w:ilvl w:val="0"/>
          <w:numId w:val="2"/>
        </w:numPr>
        <w:spacing w:lineRule="auto" w:line="360"/>
        <w:rPr>
          <w:sz w:val="24"/>
        </w:rPr>
      </w:pPr>
      <w:r>
        <w:rPr>
          <w:sz w:val="24"/>
        </w:rPr>
        <w:t>Hearings conclude</w:t>
        <w:tab/>
        <w:tab/>
        <w:tab/>
        <w:tab/>
        <w:tab/>
        <w:tab/>
        <w:tab/>
        <w:t>June 14, 2002</w:t>
      </w:r>
    </w:p>
    <w:p>
      <w:pPr>
        <w:pStyle w:val="Normal"/>
        <w:numPr>
          <w:ilvl w:val="0"/>
          <w:numId w:val="2"/>
        </w:numPr>
        <w:spacing w:lineRule="auto" w:line="360"/>
        <w:rPr>
          <w:sz w:val="24"/>
        </w:rPr>
      </w:pPr>
      <w:r>
        <w:rPr>
          <w:sz w:val="24"/>
        </w:rPr>
        <w:t>Concurrent Opening Briefs filed</w:t>
        <w:tab/>
        <w:tab/>
        <w:tab/>
        <w:tab/>
        <w:tab/>
        <w:t>July 19, 2002</w:t>
      </w:r>
    </w:p>
    <w:p>
      <w:pPr>
        <w:pStyle w:val="Normal"/>
        <w:numPr>
          <w:ilvl w:val="0"/>
          <w:numId w:val="2"/>
        </w:numPr>
        <w:spacing w:lineRule="auto" w:line="360"/>
        <w:rPr>
          <w:sz w:val="24"/>
        </w:rPr>
      </w:pPr>
      <w:r>
        <w:rPr>
          <w:sz w:val="24"/>
        </w:rPr>
        <w:t>Concurrent Closing Briefs filed</w:t>
        <w:tab/>
        <w:tab/>
        <w:tab/>
        <w:tab/>
        <w:tab/>
        <w:t>August 9, 2002</w:t>
      </w:r>
    </w:p>
    <w:p>
      <w:pPr>
        <w:pStyle w:val="Normal"/>
        <w:numPr>
          <w:ilvl w:val="0"/>
          <w:numId w:val="2"/>
        </w:numPr>
        <w:spacing w:lineRule="auto" w:line="360"/>
        <w:rPr>
          <w:sz w:val="24"/>
        </w:rPr>
      </w:pPr>
      <w:r>
        <w:rPr>
          <w:sz w:val="24"/>
        </w:rPr>
        <w:t xml:space="preserve">Proposed Decision </w:t>
        <w:tab/>
        <w:tab/>
        <w:tab/>
        <w:tab/>
        <w:tab/>
        <w:tab/>
        <w:t>November 12, 2002</w:t>
      </w:r>
    </w:p>
    <w:p>
      <w:pPr>
        <w:pStyle w:val="Normal"/>
        <w:numPr>
          <w:ilvl w:val="0"/>
          <w:numId w:val="2"/>
        </w:numPr>
        <w:spacing w:lineRule="auto" w:line="360"/>
        <w:rPr>
          <w:sz w:val="24"/>
        </w:rPr>
      </w:pPr>
      <w:r>
        <w:rPr>
          <w:sz w:val="24"/>
        </w:rPr>
        <w:t>Comission decision</w:t>
        <w:tab/>
        <w:tab/>
        <w:tab/>
        <w:tab/>
        <w:tab/>
        <w:tab/>
        <w:t>Year End 2002</w:t>
      </w:r>
    </w:p>
    <w:p>
      <w:pPr>
        <w:pStyle w:val="Normal"/>
        <w:spacing w:lineRule="auto" w:line="480"/>
        <w:rPr>
          <w:sz w:val="24"/>
        </w:rPr>
      </w:pPr>
      <w:r>
        <w:rPr>
          <w:sz w:val="24"/>
        </w:rPr>
      </w:r>
    </w:p>
    <w:p>
      <w:pPr>
        <w:pStyle w:val="Heading4"/>
        <w:spacing w:lineRule="auto" w:line="480"/>
        <w:rPr/>
      </w:pPr>
      <w:r>
        <w:rPr/>
        <w:t xml:space="preserve">The Meet and Confer Parties recommend that ALJ Brown schedule a second prehearing conference (the “Pre-trial Prehearing Conference”) prior to hearings to determine the schedule and order of witnesses, to provide time estimates for cross-examination, and to resolve any outstanding issues.   The Meet and Confer Parties also discussed the need to pre-schedule settlement discussions or conferences.  It was agreed that a settlement conference should not be scheduled at this time; however, if and when any parties deem it appropriate a settlement conference could be scheduled consistent with Rule 51. </w:t>
      </w:r>
    </w:p>
    <w:p>
      <w:pPr>
        <w:pStyle w:val="Normal"/>
        <w:tabs>
          <w:tab w:val="clear" w:pos="720"/>
          <w:tab w:val="left" w:pos="270" w:leader="none"/>
        </w:tabs>
        <w:spacing w:lineRule="auto" w:line="480"/>
        <w:ind w:firstLine="720" w:end="0"/>
        <w:rPr>
          <w:sz w:val="24"/>
        </w:rPr>
      </w:pPr>
      <w:r>
        <w:rPr/>
        <w:tab/>
        <w:tab/>
      </w:r>
    </w:p>
    <w:p>
      <w:pPr>
        <w:pStyle w:val="Normal"/>
        <w:jc w:val="center"/>
        <w:rPr>
          <w:b/>
          <w:sz w:val="24"/>
        </w:rPr>
      </w:pPr>
      <w:r>
        <w:rPr>
          <w:b/>
          <w:sz w:val="24"/>
        </w:rPr>
        <w:t>II.</w:t>
      </w:r>
    </w:p>
    <w:p>
      <w:pPr>
        <w:pStyle w:val="Normal"/>
        <w:spacing w:lineRule="auto" w:line="480"/>
        <w:jc w:val="center"/>
        <w:rPr>
          <w:b/>
          <w:sz w:val="24"/>
        </w:rPr>
      </w:pPr>
      <w:r>
        <w:rPr>
          <w:b/>
          <w:sz w:val="24"/>
        </w:rPr>
        <w:t>SCOPE OF ISSUES RELEVANT TO THE CONSOLIDATED APPLICATIONS</w:t>
      </w:r>
    </w:p>
    <w:p>
      <w:pPr>
        <w:pStyle w:val="BodyText"/>
        <w:rPr/>
      </w:pPr>
      <w:r>
        <w:rPr/>
        <w:tab/>
        <w:t>At this early stage of the proceeding, the Meet and Confer Parties agree that the scope of the issues is delineated by the matters addressed in the respective Applications and Amendments filed by SoCalGas and SDG&amp;E.  The Meet and Confer Parties see no need to repeat here each and every issue addressed in those filings.  Generally, those issues involve the updated allocation among customers of each utility’s non-gas costs of service (using either marginal or embedded costing methodologies), rates that reflect those allocations, updated forecasts of regulatory account balances to be reflected in rates, the proposed revision and simplification of various tariffs, and the proposed implementation of programs impacting SoCalGas’ interstate receipt points and its unbundled storage program.</w:t>
      </w:r>
    </w:p>
    <w:p>
      <w:pPr>
        <w:pStyle w:val="Normal"/>
        <w:spacing w:lineRule="auto" w:line="480"/>
        <w:rPr>
          <w:sz w:val="24"/>
        </w:rPr>
      </w:pPr>
      <w:r>
        <w:rPr>
          <w:sz w:val="24"/>
        </w:rPr>
        <w:t>///</w:t>
      </w:r>
    </w:p>
    <w:p>
      <w:pPr>
        <w:pStyle w:val="Normal"/>
        <w:spacing w:lineRule="auto" w:line="480"/>
        <w:rPr>
          <w:sz w:val="24"/>
        </w:rPr>
      </w:pPr>
      <w:r>
        <w:rPr>
          <w:sz w:val="24"/>
        </w:rPr>
        <w:t>///</w:t>
      </w:r>
    </w:p>
    <w:p>
      <w:pPr>
        <w:pStyle w:val="Normal"/>
        <w:spacing w:lineRule="auto" w:line="480"/>
        <w:rPr>
          <w:sz w:val="24"/>
        </w:rPr>
      </w:pPr>
      <w:r>
        <w:rPr>
          <w:sz w:val="24"/>
        </w:rPr>
        <w:t>///</w:t>
      </w:r>
    </w:p>
    <w:p>
      <w:pPr>
        <w:pStyle w:val="Normal"/>
        <w:jc w:val="center"/>
        <w:rPr>
          <w:b/>
          <w:sz w:val="24"/>
        </w:rPr>
      </w:pPr>
      <w:r>
        <w:rPr>
          <w:b/>
          <w:sz w:val="24"/>
        </w:rPr>
        <w:t>III.</w:t>
      </w:r>
    </w:p>
    <w:p>
      <w:pPr>
        <w:pStyle w:val="Normal"/>
        <w:jc w:val="center"/>
        <w:rPr>
          <w:b/>
          <w:sz w:val="24"/>
        </w:rPr>
      </w:pPr>
      <w:r>
        <w:rPr>
          <w:b/>
          <w:sz w:val="24"/>
        </w:rPr>
        <w:t>COMMISSION PROCEEDINGS THAT COULD MATERIALLY</w:t>
      </w:r>
    </w:p>
    <w:p>
      <w:pPr>
        <w:pStyle w:val="Normal"/>
        <w:jc w:val="center"/>
        <w:rPr>
          <w:b/>
          <w:sz w:val="24"/>
        </w:rPr>
      </w:pPr>
      <w:r>
        <w:rPr>
          <w:b/>
          <w:sz w:val="24"/>
        </w:rPr>
        <w:t>IMPACT THIS PROCEEDING</w:t>
      </w:r>
    </w:p>
    <w:p>
      <w:pPr>
        <w:pStyle w:val="Footer"/>
        <w:tabs>
          <w:tab w:val="clear" w:pos="4320"/>
          <w:tab w:val="clear" w:pos="8640"/>
        </w:tabs>
        <w:rPr>
          <w:b/>
          <w:sz w:val="24"/>
        </w:rPr>
      </w:pPr>
      <w:r>
        <w:rPr>
          <w:b/>
          <w:sz w:val="24"/>
        </w:rPr>
      </w:r>
    </w:p>
    <w:p>
      <w:pPr>
        <w:pStyle w:val="BodyText"/>
        <w:rPr/>
      </w:pPr>
      <w:r>
        <w:rPr/>
        <w:tab/>
        <w:t>There are a number of Commission proceedings that, in the event the Commission issues a decision in any of them, could materially affect at least some of the issues addressed in the utilities’ Applications and Amendments. They include the following:</w:t>
      </w:r>
    </w:p>
    <w:p>
      <w:pPr>
        <w:pStyle w:val="Normal"/>
        <w:numPr>
          <w:ilvl w:val="0"/>
          <w:numId w:val="3"/>
        </w:numPr>
        <w:spacing w:lineRule="auto" w:line="480"/>
        <w:rPr>
          <w:sz w:val="24"/>
        </w:rPr>
      </w:pPr>
      <w:r>
        <w:rPr>
          <w:sz w:val="24"/>
        </w:rPr>
        <w:t xml:space="preserve">The natural gas strategy proceeding (I.99-07-003).  The Commission issued recently a revised proposed decision (“RPD”) that adopts in part the Comprehensive Settlement Agreement (CSA”) submitted in April of 2000.  The RPD, if approved, would fix for its full term (through August 31, 2006) a number of issues that otherwise would be subject to litigation in BCAPs, and would remove them from being relitigated in this BCAP. </w:t>
      </w:r>
    </w:p>
    <w:p>
      <w:pPr>
        <w:pStyle w:val="Normal"/>
        <w:numPr>
          <w:ilvl w:val="0"/>
          <w:numId w:val="3"/>
        </w:numPr>
        <w:spacing w:lineRule="auto" w:line="480"/>
        <w:rPr>
          <w:sz w:val="24"/>
        </w:rPr>
      </w:pPr>
      <w:r>
        <w:rPr>
          <w:sz w:val="24"/>
        </w:rPr>
        <w:t>The application to consolidate SoCalGas’ and SDG&amp;E’s gas supply portfolios (A.01-01-021).  An assumption made by both utilities in their Applications was that the Commission would grant their request to consolidate their gas supply portfolios.  If the Commission denies that request, or grants it with substantial changes, then the portions of their respective showings that are based on that assumption will need to be revised.</w:t>
      </w:r>
    </w:p>
    <w:p>
      <w:pPr>
        <w:pStyle w:val="Normal"/>
        <w:numPr>
          <w:ilvl w:val="0"/>
          <w:numId w:val="3"/>
        </w:numPr>
        <w:spacing w:lineRule="auto" w:line="480"/>
        <w:rPr>
          <w:sz w:val="24"/>
        </w:rPr>
      </w:pPr>
      <w:r>
        <w:rPr>
          <w:sz w:val="24"/>
        </w:rPr>
        <w:t>The baseline OIR proceeding (R.01-05-047).  Changes to the baseline could require changes to the BCAP rate designs.  Phase II of the baseline OIR will address cost allocation and rate design issues also, though this phase has not yet been opened.</w:t>
      </w:r>
    </w:p>
    <w:p>
      <w:pPr>
        <w:pStyle w:val="Normal"/>
        <w:numPr>
          <w:ilvl w:val="0"/>
          <w:numId w:val="3"/>
        </w:numPr>
        <w:spacing w:lineRule="auto" w:line="480"/>
        <w:rPr>
          <w:sz w:val="24"/>
        </w:rPr>
      </w:pPr>
      <w:r>
        <w:rPr>
          <w:sz w:val="24"/>
        </w:rPr>
        <w:t>The Gas Transmission OII (I.00-11-002).  The Commission is investigating the adequacy of the SDG&amp;E and SoCalGas gas transmission systems.  The scope of the proceeding includes proposals concerning the criteria for the future planning of the SDG&amp;E and SoCalGas gas transmission systems, requests for approval of open seasons to allocate firm noncore service in the Imperial and San Joaquin Valleys, and appropriate principles of rate design for SDG&amp;E firm and interruptible service.  The Commission’s decision on these issues could require changes to SDG&amp;E’s and SoCalGas’ showing in this BCAP including updates to their respective transmission resource plans.</w:t>
      </w:r>
    </w:p>
    <w:p>
      <w:pPr>
        <w:pStyle w:val="BodyText"/>
        <w:rPr/>
      </w:pPr>
      <w:r>
        <w:rPr/>
        <w:t xml:space="preserve"> </w:t>
      </w:r>
      <w:r>
        <w:rPr/>
        <w:tab/>
        <w:t xml:space="preserve">The Meet and Confer Parties identified in footnote one of this Statement have authorized the undersigned to execute this document on their behalf.    </w:t>
      </w:r>
    </w:p>
    <w:p>
      <w:pPr>
        <w:pStyle w:val="Normal"/>
        <w:spacing w:lineRule="auto" w:line="480"/>
        <w:ind w:firstLine="720" w:end="0"/>
        <w:rPr>
          <w:sz w:val="24"/>
        </w:rPr>
      </w:pPr>
      <w:r>
        <w:rPr>
          <w:sz w:val="24"/>
        </w:rPr>
        <w:t>DATED at San Diego, California, this 21st day of November 2001.</w:t>
      </w:r>
    </w:p>
    <w:p>
      <w:pPr>
        <w:pStyle w:val="Normal"/>
        <w:rPr>
          <w:sz w:val="24"/>
        </w:rPr>
      </w:pPr>
      <w:r>
        <w:rPr>
          <w:sz w:val="24"/>
        </w:rPr>
      </w:r>
    </w:p>
    <w:p>
      <w:pPr>
        <w:pStyle w:val="Normal"/>
        <w:tabs>
          <w:tab w:val="clear" w:pos="720"/>
          <w:tab w:val="left" w:pos="4320" w:leader="none"/>
        </w:tabs>
        <w:rPr>
          <w:sz w:val="24"/>
        </w:rPr>
      </w:pPr>
      <w:r>
        <w:rPr>
          <w:sz w:val="24"/>
        </w:rPr>
        <w:tab/>
        <w:t>Respectfully submitted,</w:t>
      </w:r>
    </w:p>
    <w:p>
      <w:pPr>
        <w:pStyle w:val="Normal"/>
        <w:tabs>
          <w:tab w:val="clear" w:pos="720"/>
          <w:tab w:val="left" w:pos="4320" w:leader="none"/>
        </w:tabs>
        <w:ind w:start="4320" w:end="0"/>
        <w:rPr>
          <w:sz w:val="24"/>
        </w:rPr>
      </w:pPr>
      <w:r>
        <w:rPr>
          <w:sz w:val="24"/>
        </w:rPr>
      </w:r>
    </w:p>
    <w:p>
      <w:pPr>
        <w:pStyle w:val="Normal"/>
        <w:tabs>
          <w:tab w:val="clear" w:pos="720"/>
          <w:tab w:val="left" w:pos="4320" w:leader="none"/>
        </w:tabs>
        <w:ind w:start="4320" w:end="0"/>
        <w:rPr>
          <w:sz w:val="24"/>
        </w:rPr>
      </w:pPr>
      <w:r>
        <w:rPr>
          <w:sz w:val="24"/>
        </w:rPr>
        <w:t>SOUTHERN CALIFORNIA GAS COMPANY</w:t>
      </w:r>
    </w:p>
    <w:p>
      <w:pPr>
        <w:pStyle w:val="Normal"/>
        <w:tabs>
          <w:tab w:val="clear" w:pos="720"/>
          <w:tab w:val="left" w:pos="4320" w:leader="none"/>
        </w:tabs>
        <w:rPr>
          <w:sz w:val="24"/>
        </w:rPr>
      </w:pPr>
      <w:r>
        <w:rPr>
          <w:sz w:val="24"/>
        </w:rPr>
      </w:r>
    </w:p>
    <w:p>
      <w:pPr>
        <w:pStyle w:val="Normal"/>
        <w:ind w:start="4320" w:end="0"/>
        <w:rPr>
          <w:sz w:val="24"/>
        </w:rPr>
      </w:pPr>
      <w:r>
        <w:rPr/>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3600" w:end="0"/>
        <w:rPr>
          <w:sz w:val="24"/>
        </w:rPr>
      </w:pPr>
      <w:r>
        <w:rPr>
          <w:sz w:val="24"/>
        </w:rPr>
        <w:t>By:  ______________________________</w:t>
      </w:r>
    </w:p>
    <w:p>
      <w:pPr>
        <w:pStyle w:val="Normal"/>
        <w:ind w:firstLine="720" w:start="4320" w:end="0"/>
        <w:rPr>
          <w:sz w:val="24"/>
        </w:rPr>
      </w:pPr>
      <w:r>
        <w:rPr>
          <w:sz w:val="24"/>
        </w:rPr>
        <w:t>Jeffrey M. Parrott</w:t>
      </w:r>
    </w:p>
    <w:p>
      <w:pPr>
        <w:pStyle w:val="Normal"/>
        <w:rPr>
          <w:sz w:val="24"/>
        </w:rPr>
      </w:pPr>
      <w:r>
        <w:rPr>
          <w:sz w:val="24"/>
        </w:rPr>
      </w:r>
    </w:p>
    <w:p>
      <w:pPr>
        <w:pStyle w:val="Normal"/>
        <w:ind w:start="5040" w:end="0"/>
        <w:rPr>
          <w:sz w:val="24"/>
        </w:rPr>
      </w:pPr>
      <w:r>
        <w:rPr>
          <w:sz w:val="24"/>
        </w:rPr>
        <w:t>Jeffrey M. Parrott</w:t>
      </w:r>
    </w:p>
    <w:p>
      <w:pPr>
        <w:pStyle w:val="Normal"/>
        <w:ind w:start="5040" w:end="0"/>
        <w:rPr>
          <w:sz w:val="24"/>
        </w:rPr>
      </w:pPr>
      <w:r>
        <w:rPr>
          <w:sz w:val="24"/>
        </w:rPr>
        <w:t>Stacy Van Goor</w:t>
      </w:r>
    </w:p>
    <w:p>
      <w:pPr>
        <w:pStyle w:val="Footer"/>
        <w:tabs>
          <w:tab w:val="clear" w:pos="4320"/>
          <w:tab w:val="clear" w:pos="8640"/>
        </w:tabs>
        <w:ind w:start="5040" w:end="0"/>
        <w:rPr/>
      </w:pPr>
      <w:r>
        <w:rPr/>
        <w:t>101 Ash Street, HQ13</w:t>
      </w:r>
    </w:p>
    <w:p>
      <w:pPr>
        <w:pStyle w:val="Normal"/>
        <w:ind w:start="5040" w:end="0"/>
        <w:rPr>
          <w:sz w:val="24"/>
        </w:rPr>
      </w:pPr>
      <w:r>
        <w:rPr>
          <w:sz w:val="24"/>
        </w:rPr>
        <w:t>San Diego, CA  92101-3017</w:t>
      </w:r>
    </w:p>
    <w:p>
      <w:pPr>
        <w:pStyle w:val="Normal"/>
        <w:ind w:start="5040" w:end="0"/>
        <w:rPr>
          <w:sz w:val="24"/>
        </w:rPr>
      </w:pPr>
      <w:r>
        <w:rPr>
          <w:sz w:val="24"/>
        </w:rPr>
        <w:t>Telephone:  619-699-5063</w:t>
      </w:r>
    </w:p>
    <w:p>
      <w:pPr>
        <w:pStyle w:val="Normal"/>
        <w:ind w:start="5040" w:end="0"/>
        <w:rPr>
          <w:sz w:val="24"/>
        </w:rPr>
      </w:pPr>
      <w:r>
        <w:rPr>
          <w:sz w:val="24"/>
        </w:rPr>
        <w:t>Facsimile:  619-699-5027</w:t>
      </w:r>
    </w:p>
    <w:p>
      <w:pPr>
        <w:pStyle w:val="Normal"/>
        <w:ind w:start="5040" w:end="0"/>
        <w:rPr>
          <w:sz w:val="24"/>
        </w:rPr>
      </w:pPr>
      <w:r>
        <w:rPr>
          <w:sz w:val="24"/>
        </w:rPr>
        <w:t>E-mail:</w:t>
        <w:tab/>
      </w:r>
      <w:hyperlink r:id="rId3">
        <w:r>
          <w:rPr>
            <w:rStyle w:val="Hyperlink"/>
            <w:sz w:val="24"/>
          </w:rPr>
          <w:t>jparrott@sempra.com</w:t>
        </w:r>
      </w:hyperlink>
    </w:p>
    <w:p>
      <w:pPr>
        <w:pStyle w:val="Normal"/>
        <w:ind w:firstLine="720" w:start="5040" w:end="0"/>
        <w:rPr>
          <w:sz w:val="24"/>
        </w:rPr>
      </w:pPr>
      <w:r>
        <w:rPr>
          <w:sz w:val="24"/>
        </w:rPr>
        <w:t>svangoor@sempra.com</w:t>
      </w:r>
    </w:p>
    <w:p>
      <w:pPr>
        <w:pStyle w:val="Normal"/>
        <w:ind w:firstLine="720" w:start="5040" w:end="0"/>
        <w:rPr>
          <w:sz w:val="24"/>
        </w:rPr>
      </w:pPr>
      <w:r>
        <w:rPr>
          <w:sz w:val="24"/>
        </w:rPr>
      </w:r>
    </w:p>
    <w:p>
      <w:pPr>
        <w:pStyle w:val="Normal"/>
        <w:ind w:start="5040" w:end="0"/>
        <w:rPr>
          <w:sz w:val="24"/>
        </w:rPr>
      </w:pPr>
      <w:r>
        <w:rPr>
          <w:sz w:val="24"/>
        </w:rPr>
        <w:t>Attorneys for:</w:t>
      </w:r>
    </w:p>
    <w:p>
      <w:pPr>
        <w:pStyle w:val="Normal"/>
        <w:ind w:start="5040" w:end="0"/>
        <w:rPr>
          <w:sz w:val="24"/>
        </w:rPr>
      </w:pPr>
      <w:r>
        <w:rPr>
          <w:sz w:val="24"/>
        </w:rPr>
        <w:t>SOUTHERN CALIFORNIA GAS COMPANY</w:t>
      </w:r>
    </w:p>
    <w:p>
      <w:pPr>
        <w:pStyle w:val="Footer"/>
        <w:tabs>
          <w:tab w:val="clear" w:pos="4320"/>
          <w:tab w:val="clear" w:pos="8640"/>
        </w:tabs>
        <w:rPr>
          <w:sz w:val="24"/>
        </w:rPr>
      </w:pPr>
      <w:r>
        <w:rPr>
          <w:sz w:val="24"/>
        </w:rPr>
      </w:r>
    </w:p>
    <w:p>
      <w:pPr>
        <w:pStyle w:val="Normal"/>
        <w:rPr>
          <w:sz w:val="24"/>
        </w:rPr>
      </w:pPr>
      <w:r>
        <w:rPr>
          <w:sz w:val="24"/>
        </w:rPr>
      </w:r>
    </w:p>
    <w:sectPr>
      <w:footerReference w:type="default" r:id="rId4"/>
      <w:footerReference w:type="first" r:id="rId5"/>
      <w:footnotePr>
        <w:numFmt w:val="decimal"/>
      </w:footnotePr>
      <w:type w:val="nextPage"/>
      <w:pgSz w:w="12240" w:h="15840"/>
      <w:pgMar w:left="1800" w:right="180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Those parties are the applicants, Southern California Gas Company (SoCalGas) and San Diego Gas &amp; Electric Company (SDG&amp;E), and the following interested parties: Electric Generator Alliance, Questar/Kern River, California Department of General Services, Calpine, Western Mobilehome Park Association, Office of Ratepayer Advocates, Pacific Gas and Electric Company, California Cogeneration Coalition, Independent Producers, Southern California Generation Coalition, California Energy Commission, Watson Cogeneration, Southwest Gas, The Utility Reform Network, Long Beach, Southern California Edison Company, and the California Industrial Group/California Manufacturer’s Association.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ind w:firstLine="720" w:start="1440" w:end="0"/>
      <w:outlineLvl w:val="2"/>
    </w:pPr>
    <w:rPr>
      <w:b/>
      <w:sz w:val="24"/>
    </w:rPr>
  </w:style>
  <w:style w:type="paragraph" w:styleId="Heading4">
    <w:name w:val="heading 4"/>
    <w:basedOn w:val="Normal"/>
    <w:next w:val="Normal"/>
    <w:qFormat/>
    <w:pPr>
      <w:keepNext w:val="true"/>
      <w:numPr>
        <w:ilvl w:val="3"/>
        <w:numId w:val="1"/>
      </w:numPr>
      <w:ind w:firstLine="720" w:start="0" w:end="0"/>
      <w:outlineLvl w:val="3"/>
    </w:pPr>
    <w:rPr>
      <w:sz w:val="24"/>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lang w:eastAsia="en-US"/>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parrott@sempra" TargetMode="External"/><Relationship Id="rId3" Type="http://schemas.openxmlformats.org/officeDocument/2006/relationships/hyperlink" Target="mailto:jparrott@sempra.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2001-11-12T20:50:00Z</dcterms:created>
  <dc:creator>Sempra Energy</dc:creator>
  <dc:description/>
  <dc:language>en-CA</dc:language>
  <cp:lastModifiedBy>Sempra Energy</cp:lastModifiedBy>
  <cp:lastPrinted>2001-11-15T11:59:00Z</cp:lastPrinted>
  <dcterms:modified xsi:type="dcterms:W3CDTF">2001-11-16T16:16:00Z</dcterms:modified>
  <cp:revision>8</cp:revision>
  <dc:subject/>
  <dc:title>BEFORE THE PUBLIC UTILITIES COMMISSION</dc:title>
</cp:coreProperties>
</file>