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10"/>
        <w:jc w:val="both"/>
        <w:rPr>
          <w:u w:val="single"/>
        </w:rPr>
      </w:pPr>
      <w:r>
        <w:rPr>
          <w:u w:val="single"/>
        </w:rPr>
        <w:t>BBPL</w:t>
      </w:r>
    </w:p>
    <w:p>
      <w:pPr>
        <w:pStyle w:val="BLKmed1st1"/>
        <w:spacing w:lineRule="auto" w:line="240" w:before="0" w:after="240"/>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Regulatory Framework</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Regulatory Framework</w:t>
                      </w:r>
                    </w:p>
                  </w:txbxContent>
                </v:textbox>
                <w10:wrap type="square"/>
              </v:rect>
            </w:pict>
          </mc:Fallback>
        </mc:AlternateContent>
      </w:r>
    </w:p>
    <w:p>
      <w:pPr>
        <w:pStyle w:val="BLKmed1st1"/>
        <w:spacing w:lineRule="auto" w:line="240" w:before="0" w:after="240"/>
        <w:rPr/>
      </w:pPr>
      <w:r>
        <w:rPr/>
        <w:t>GTB and TBG are subject to the regulatory frameworks of Bolivia and Brazil, respectively.  The Bolivian pipeline system is regulated by the Sistema de Regulación Sectorial (“SIRESE”). [CONFIRM THIS SECTION]  It is an open access system with distanced based tariffs regulated by SIRESE.  Tariffs are set in accordance with a return on assets model.  In addition, SIRESE requires unbundling of the transportation and gas acquisition costs.</w:t>
      </w:r>
    </w:p>
    <w:p>
      <w:pPr>
        <w:pStyle w:val="BLKmed1st1"/>
        <w:rPr/>
      </w:pPr>
      <w:r>
        <w:rPr/>
        <w:t>By contrast, the Brazilian pipeline system is a closed access system that is moving to an open access system.  Based on the recent Agência Nacional do Petróleo (“ANP”) resolutions, the unbundling of gas supply and transportation prices and distance-based tariffs will be required soon.</w:t>
      </w:r>
      <w:r>
        <w:br w:type="page"/>
      </w:r>
    </w:p>
    <w:p>
      <w:pPr>
        <w:pStyle w:val="Caption"/>
        <w:rPr/>
      </w:pPr>
      <w:r>
        <w:rPr/>
        <w:t>Management Discussion and Analysis</w:t>
      </w:r>
    </w:p>
    <w:p>
      <w:pPr>
        <w:pStyle w:val="Normal"/>
        <w:rPr>
          <w:b/>
          <w:i/>
          <w:i/>
        </w:rPr>
      </w:pPr>
      <w:r>
        <w:rPr>
          <w:b/>
          <w:i/>
        </w:rPr>
      </w:r>
    </w:p>
    <w:p>
      <w:pPr>
        <w:pStyle w:val="Normal"/>
        <w:rPr>
          <w:b/>
          <w:u w:val="single"/>
        </w:rPr>
      </w:pPr>
      <w:r>
        <w:rPr>
          <w:b/>
          <w:u w:val="single"/>
        </w:rPr>
        <w:t>Revenue -Tariffs and Volumes</w:t>
      </w:r>
    </w:p>
    <w:p>
      <w:pPr>
        <w:pStyle w:val="Normal"/>
        <w:rPr>
          <w:b/>
          <w:u w:val="single"/>
        </w:rPr>
      </w:pPr>
      <w:r>
        <w:rPr>
          <w:b/>
          <w:u w:val="single"/>
        </w:rPr>
      </w:r>
    </w:p>
    <w:p>
      <w:pPr>
        <w:pStyle w:val="Normal"/>
        <w:rPr/>
      </w:pPr>
      <w:r>
        <w:rPr/>
        <w:t>Revenues are denominated in [Brazilian reais.]  The pipeline did not officially enter commercial operations until the beginning of 2000, therefore there are no historical operating results.</w:t>
      </w:r>
    </w:p>
    <w:p>
      <w:pPr>
        <w:pStyle w:val="Normal"/>
        <w:rPr/>
      </w:pPr>
      <w:r>
        <w:rPr/>
      </w:r>
    </w:p>
    <w:p>
      <w:pPr>
        <w:pStyle w:val="Normal"/>
        <w:rPr/>
      </w:pPr>
      <w:r>
        <w:rPr/>
        <w:t>Revenues are projected to increase from $74.3 million in 2000 to $345.6 million in 2004, a compounded annual growth rate of [   ]%.  This increase in revenues will be driven primarily by an increase in volumes. Volumes are projected to increase from 4,550 Mm</w:t>
      </w:r>
      <w:r>
        <w:rPr>
          <w:vertAlign w:val="superscript"/>
        </w:rPr>
        <w:t>3</w:t>
      </w:r>
      <w:r>
        <w:rPr/>
        <w:t>/day in 2000 to 21,340 Mm</w:t>
      </w:r>
      <w:r>
        <w:rPr>
          <w:vertAlign w:val="superscript"/>
        </w:rPr>
        <w:t>3</w:t>
      </w:r>
      <w:r>
        <w:rPr/>
        <w:t>/day in 2004, a compounded annual growth rate of [   ]%.  The volume increases correspond to the increase in the take or pay volumes per the contract with Petrobras.  There is a deferred revenue component of the revenues which is comprised of a $302 million prepay from Petrobras amortized over 40 years.</w:t>
      </w:r>
    </w:p>
    <w:p>
      <w:pPr>
        <w:pStyle w:val="Normal"/>
        <w:rPr/>
      </w:pPr>
      <w:r>
        <w:rPr/>
      </w:r>
    </w:p>
    <w:p>
      <w:pPr>
        <w:pStyle w:val="Normal"/>
        <w:rPr/>
      </w:pPr>
      <w:r>
        <w:rPr/>
        <w:t>Tariffs are contractually increased 0.5% annually regardless of Brazilian inflation. [There is [is not] a provision to adjust rates based on FX changes]</w:t>
      </w:r>
    </w:p>
    <w:p>
      <w:pPr>
        <w:pStyle w:val="Normal"/>
        <w:rPr/>
      </w:pPr>
      <w:r>
        <w:rPr/>
      </w:r>
    </w:p>
    <w:p>
      <w:pPr>
        <w:pStyle w:val="Normal"/>
        <w:rPr/>
      </w:pPr>
      <w:r>
        <w:rPr/>
        <w:t>Revenue taxes included in the historical and projected information are the  PIS/COFINS and ICMS which will represent on a combined 15.65% of gross revenues.  [There is a 1% tax on revenues assessed by SIRESE.]</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idden">
    <w:name w:val="hidden"/>
    <w:basedOn w:val="DefaultParagraphFont"/>
    <w:qFormat/>
    <w:rPr>
      <w:vanish/>
      <w:color w:val="FF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i/>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LKmed1st1">
    <w:name w:val="BLK/med/1st/1"/>
    <w:basedOn w:val="Normal"/>
    <w:qFormat/>
    <w:pPr>
      <w:spacing w:lineRule="auto" w:line="300" w:before="0" w:after="220"/>
      <w:jc w:val="both"/>
    </w:pPr>
    <w:rPr>
      <w:sz w:val="22"/>
    </w:rPr>
  </w:style>
  <w:style w:type="paragraph" w:styleId="TableBody">
    <w:name w:val="Table Body"/>
    <w:basedOn w:val="Normal"/>
    <w:qFormat/>
    <w:pPr/>
    <w:rPr>
      <w:rFonts w:ascii="Arial Narrow" w:hAnsi="Arial Narrow" w:cs="Arial Narrow"/>
      <w:sz w:val="16"/>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zSideBar">
    <w:name w:val="z SideBar"/>
    <w:basedOn w:val="Normal"/>
    <w:qFormat/>
    <w:pPr>
      <w:keepNext w:val="true"/>
    </w:pPr>
    <w:rPr>
      <w:b/>
      <w:i/>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2000-03-20T22:55:00Z</dcterms:created>
  <dc:creator>Vinson &amp; Elkins L.L.P.</dc:creator>
  <dc:description/>
  <dc:language>en-CA</dc:language>
  <cp:lastModifiedBy>Vinson &amp; Elkins L.L.P.</cp:lastModifiedBy>
  <dcterms:modified xsi:type="dcterms:W3CDTF">2000-03-21T00:49:00Z</dcterms:modified>
  <cp:revision>3</cp:revision>
  <dc:subject/>
  <dc:title>Regulatory Framework</dc:title>
</cp:coreProperties>
</file>