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lbertus Medium" w:hAnsi="Albertus Medium" w:cs="Albertus Medium"/>
          <w:sz w:val="24"/>
        </w:rPr>
      </w:pPr>
      <w:r>
        <w:rPr>
          <w:rFonts w:cs="Albertus Medium" w:ascii="Albertus Medium" w:hAnsi="Albertus Medium"/>
          <w:sz w:val="24"/>
        </w:rPr>
      </w:r>
    </w:p>
    <w:p>
      <w:pPr>
        <w:pStyle w:val="Heading3"/>
        <w:ind w:hanging="0" w:start="0"/>
        <w:rPr/>
      </w:pPr>
      <w:r>
        <w:rPr>
          <w:rFonts w:cs="Bookman Old Style" w:ascii="Bookman Old Style" w:hAnsi="Bookman Old Style"/>
          <w:b w:val="false"/>
          <w:sz w:val="40"/>
        </w:rPr>
        <w:t>JOIN</w:t>
      </w:r>
      <w:r>
        <w:rPr>
          <w:rFonts w:cs="Bookman Old Style" w:ascii="Bookman Old Style" w:hAnsi="Bookman Old Style"/>
          <w:sz w:val="40"/>
        </w:rPr>
        <w:t xml:space="preserve"> NESA/HEA </w:t>
      </w:r>
      <w:r>
        <w:rPr>
          <w:rFonts w:cs="Bookman Old Style" w:ascii="Bookman Old Style" w:hAnsi="Bookman Old Style"/>
          <w:b w:val="false"/>
          <w:sz w:val="40"/>
        </w:rPr>
        <w:t>TO LEARN MORE ABOUT PERSONAL FINANCIAL PLANNING</w:t>
      </w:r>
    </w:p>
    <w:p>
      <w:pPr>
        <w:pStyle w:val="Heading6"/>
        <w:ind w:hanging="0" w:start="0"/>
        <w:rPr>
          <w:rFonts w:ascii="Bookman Old Style" w:hAnsi="Bookman Old Style" w:cs="Bookman Old Style"/>
        </w:rPr>
      </w:pPr>
      <w:r>
        <w:rPr>
          <w:rFonts w:cs="Bookman Old Style" w:ascii="Bookman Old Style" w:hAnsi="Bookman Old Style"/>
          <w:sz w:val="40"/>
        </w:rPr>
        <w:t>February 16, 2001</w:t>
      </w:r>
    </w:p>
    <w:p>
      <w:pPr>
        <w:pStyle w:val="Normal"/>
        <w:rPr>
          <w:rFonts w:ascii="Bookman Old Style" w:hAnsi="Bookman Old Style" w:cs="Bookman Old Style"/>
        </w:rPr>
      </w:pPr>
      <w:r>
        <w:rPr>
          <w:rFonts w:cs="Bookman Old Style" w:ascii="Bookman Old Style" w:hAnsi="Bookman Old Style"/>
        </w:rPr>
      </w:r>
    </w:p>
    <w:p>
      <w:pPr>
        <w:pStyle w:val="Normal"/>
        <w:rPr/>
      </w:pPr>
      <w:r>
        <w:rPr/>
      </w:r>
    </w:p>
    <w:p>
      <w:pPr>
        <w:pStyle w:val="Normal"/>
        <w:jc w:val="center"/>
        <w:rPr>
          <w:b/>
          <w:sz w:val="40"/>
        </w:rPr>
      </w:pPr>
      <w:r>
        <w:rPr>
          <w:b/>
          <w:sz w:val="40"/>
        </w:rPr>
        <w:t>PLAN FOR YOUR FUTURE!!</w:t>
      </w:r>
    </w:p>
    <w:p>
      <w:pPr>
        <w:pStyle w:val="Normal"/>
        <w:rPr>
          <w:b/>
          <w:sz w:val="40"/>
        </w:rPr>
      </w:pPr>
      <w:r>
        <w:rPr>
          <w:b/>
          <w:sz w:val="40"/>
        </w:rPr>
      </w:r>
    </w:p>
    <w:p>
      <w:pPr>
        <w:pStyle w:val="BodyText"/>
        <w:rPr/>
      </w:pPr>
      <w:r>
        <w:rPr>
          <w:rFonts w:cs="Bookman Old Style" w:ascii="Bookman Old Style" w:hAnsi="Bookman Old Style"/>
          <w:sz w:val="32"/>
        </w:rPr>
        <w:t>NESA/HEA</w:t>
      </w:r>
      <w:r>
        <w:rPr>
          <w:rFonts w:cs="Bookman Old Style" w:ascii="Bookman Old Style" w:hAnsi="Bookman Old Style"/>
          <w:b w:val="false"/>
        </w:rPr>
        <w:t xml:space="preserve"> is proud to introduce financial planning with American Express Financial Advisor, Dave Adam as your host.  Have you ever asked yourself questions such as:</w:t>
      </w:r>
      <w:r>
        <w:rPr>
          <w:rFonts w:cs="Bookman Old Style" w:ascii="Bookman Old Style" w:hAnsi="Bookman Old Style"/>
        </w:rPr>
        <w:t xml:space="preserve">  </w:t>
      </w:r>
    </w:p>
    <w:p>
      <w:pPr>
        <w:pStyle w:val="BodyText"/>
        <w:rPr>
          <w:rFonts w:ascii="Bookman Old Style" w:hAnsi="Bookman Old Style" w:cs="Bookman Old Style"/>
        </w:rPr>
      </w:pPr>
      <w:r>
        <w:rPr>
          <w:rFonts w:cs="Bookman Old Style" w:ascii="Bookman Old Style" w:hAnsi="Bookman Old Style"/>
        </w:rPr>
      </w:r>
    </w:p>
    <w:p>
      <w:pPr>
        <w:pStyle w:val="BodyText"/>
        <w:rPr/>
      </w:pPr>
      <w:r>
        <w:rPr>
          <w:rFonts w:cs="Bookman Old Style" w:ascii="Bookman Old Style" w:hAnsi="Bookman Old Style"/>
        </w:rPr>
        <w:t>“</w:t>
      </w:r>
      <w:r>
        <w:rPr>
          <w:rFonts w:cs="Bookman Old Style" w:ascii="Bookman Old Style" w:hAnsi="Bookman Old Style"/>
          <w:i/>
        </w:rPr>
        <w:t>Where did my money go? – Where do I invest?  401k?  IRA’s?  Annuities?  Mutual Funds? – Should I open an Roth IRA? – Do I need life or disability insurance? – How will I be able to afford to send my children to college? – How will taxes affect my retirement? – How can I integrate my employee benefits package within my total financial plan? – How do I rollover my 401k plan if I retire? – Why do I need a will or trust?  How much money will I need in Retirement?</w:t>
      </w:r>
    </w:p>
    <w:p>
      <w:pPr>
        <w:pStyle w:val="BodyText"/>
        <w:rPr>
          <w:rFonts w:ascii="Bookman Old Style" w:hAnsi="Bookman Old Style" w:cs="Bookman Old Style"/>
          <w:i/>
          <w:i/>
        </w:rPr>
      </w:pPr>
      <w:r>
        <w:rPr>
          <w:rFonts w:cs="Bookman Old Style" w:ascii="Bookman Old Style" w:hAnsi="Bookman Old Style"/>
          <w:i/>
        </w:rPr>
      </w:r>
    </w:p>
    <w:p>
      <w:pPr>
        <w:pStyle w:val="BodyText"/>
        <w:rPr/>
      </w:pPr>
      <w:r>
        <w:rPr>
          <w:rFonts w:cs="Bookman Old Style" w:ascii="Bookman Old Style" w:hAnsi="Bookman Old Style"/>
          <w:b w:val="false"/>
        </w:rPr>
        <w:t xml:space="preserve">This program is designed to help you better understand </w:t>
      </w:r>
      <w:r>
        <w:rPr>
          <w:rFonts w:cs="Bookman Old Style" w:ascii="Bookman Old Style" w:hAnsi="Bookman Old Style"/>
        </w:rPr>
        <w:t>your own</w:t>
      </w:r>
      <w:r>
        <w:rPr>
          <w:rFonts w:cs="Bookman Old Style" w:ascii="Bookman Old Style" w:hAnsi="Bookman Old Style"/>
          <w:b w:val="false"/>
        </w:rPr>
        <w:t xml:space="preserve"> </w:t>
      </w:r>
      <w:r>
        <w:rPr>
          <w:rFonts w:cs="Bookman Old Style" w:ascii="Bookman Old Style" w:hAnsi="Bookman Old Style"/>
        </w:rPr>
        <w:t>personal financial situation</w:t>
      </w:r>
      <w:r>
        <w:rPr>
          <w:rFonts w:cs="Bookman Old Style" w:ascii="Bookman Old Style" w:hAnsi="Bookman Old Style"/>
          <w:b w:val="false"/>
        </w:rPr>
        <w:t xml:space="preserve"> and help you ensure a secure financial future.  </w:t>
      </w:r>
    </w:p>
    <w:p>
      <w:pPr>
        <w:pStyle w:val="BodyText"/>
        <w:rPr>
          <w:rFonts w:ascii="Goudy" w:hAnsi="Goudy" w:cs="Goudy"/>
          <w:b w:val="false"/>
        </w:rPr>
      </w:pPr>
      <w:r>
        <w:rPr>
          <w:rFonts w:cs="Goudy" w:ascii="Goudy" w:hAnsi="Goudy"/>
          <w:b w:val="false"/>
        </w:rPr>
      </w:r>
    </w:p>
    <w:p>
      <w:pPr>
        <w:pStyle w:val="BodyText"/>
        <w:rPr/>
      </w:pPr>
      <w:r>
        <w:rPr>
          <w:rFonts w:cs="Goudy" w:ascii="Goudy" w:hAnsi="Goudy"/>
        </w:rPr>
        <w:t>MEETING TIMES:</w:t>
        <w:tab/>
        <w:t>11:30 AM – 1:30 PM</w:t>
      </w:r>
      <w:r>
        <w:rPr>
          <w:rFonts w:cs="Goudy" w:ascii="Goudy" w:hAnsi="Goudy"/>
          <w:b w:val="false"/>
          <w:sz w:val="24"/>
        </w:rPr>
        <w:t xml:space="preserve">  </w:t>
      </w:r>
    </w:p>
    <w:p>
      <w:pPr>
        <w:pStyle w:val="BodyText"/>
        <w:rPr>
          <w:rFonts w:ascii="Goudy" w:hAnsi="Goudy" w:cs="Goudy"/>
        </w:rPr>
      </w:pPr>
      <w:r>
        <w:rPr>
          <w:rFonts w:cs="Goudy" w:ascii="Goudy" w:hAnsi="Goudy"/>
        </w:rPr>
        <w:t>KOCH INDUSTRIES</w:t>
      </w:r>
    </w:p>
    <w:p>
      <w:pPr>
        <w:pStyle w:val="BodyText"/>
        <w:rPr>
          <w:rFonts w:ascii="Goudy" w:hAnsi="Goudy" w:cs="Goudy"/>
        </w:rPr>
      </w:pPr>
      <w:r>
        <w:rPr>
          <w:rFonts w:cs="Goudy" w:ascii="Goudy" w:hAnsi="Goudy"/>
        </w:rPr>
        <w:t>20 E. Greenway Plaza, Room 1</w:t>
      </w:r>
    </w:p>
    <w:p>
      <w:pPr>
        <w:pStyle w:val="BodyText"/>
        <w:rPr>
          <w:rFonts w:ascii="Goudy" w:hAnsi="Goudy" w:cs="Goudy"/>
        </w:rPr>
      </w:pPr>
      <w:r>
        <w:rPr>
          <w:rFonts w:cs="Goudy" w:ascii="Goudy" w:hAnsi="Goudy"/>
        </w:rPr>
        <w:t>Houston, TX</w:t>
      </w:r>
    </w:p>
    <w:p>
      <w:pPr>
        <w:pStyle w:val="BodyText"/>
        <w:rPr>
          <w:rFonts w:ascii="Goudy" w:hAnsi="Goudy" w:cs="Goudy"/>
          <w:b w:val="false"/>
          <w:sz w:val="24"/>
        </w:rPr>
      </w:pPr>
      <w:r>
        <w:rPr>
          <w:rFonts w:cs="Goudy" w:ascii="Goudy" w:hAnsi="Goudy"/>
          <w:b w:val="false"/>
          <w:sz w:val="24"/>
        </w:rPr>
      </w:r>
    </w:p>
    <w:p>
      <w:pPr>
        <w:pStyle w:val="BodyText"/>
        <w:jc w:val="start"/>
        <w:rPr>
          <w:rFonts w:ascii="Goudy" w:hAnsi="Goudy" w:cs="Goudy"/>
          <w:b w:val="false"/>
          <w:sz w:val="24"/>
        </w:rPr>
      </w:pPr>
      <w:r>
        <w:rPr>
          <w:rFonts w:cs="Goudy" w:ascii="Goudy" w:hAnsi="Goudy"/>
          <w:b w:val="false"/>
          <w:sz w:val="24"/>
        </w:rPr>
      </w:r>
    </w:p>
    <w:p>
      <w:pPr>
        <w:pStyle w:val="BodyText"/>
        <w:rPr/>
      </w:pPr>
      <w:r>
        <w:rPr>
          <w:rFonts w:cs="Bookman Old Style" w:ascii="Bookman Old Style" w:hAnsi="Bookman Old Style"/>
          <w:b w:val="false"/>
        </w:rPr>
        <w:t>The cost is $</w:t>
      </w:r>
      <w:r>
        <w:rPr>
          <w:rFonts w:cs="Bookman Old Style" w:ascii="Bookman Old Style" w:hAnsi="Bookman Old Style"/>
        </w:rPr>
        <w:t>35.00 for NESA/HEA members</w:t>
      </w:r>
      <w:r>
        <w:rPr>
          <w:rFonts w:cs="Bookman Old Style" w:ascii="Bookman Old Style" w:hAnsi="Bookman Old Style"/>
          <w:b w:val="false"/>
        </w:rPr>
        <w:t xml:space="preserve"> and $</w:t>
      </w:r>
      <w:r>
        <w:rPr>
          <w:rFonts w:cs="Bookman Old Style" w:ascii="Bookman Old Style" w:hAnsi="Bookman Old Style"/>
        </w:rPr>
        <w:t>50.00 for non-members</w:t>
      </w:r>
      <w:r>
        <w:rPr>
          <w:rFonts w:cs="Bookman Old Style" w:ascii="Bookman Old Style" w:hAnsi="Bookman Old Style"/>
          <w:b w:val="false"/>
        </w:rPr>
        <w:t>. Your registration fee will include lunch.  To attend please fill out the registration form on the reverse side.</w:t>
      </w:r>
    </w:p>
    <w:p>
      <w:pPr>
        <w:pStyle w:val="BodyText"/>
        <w:ind w:hanging="2880" w:start="3600" w:end="0"/>
        <w:jc w:val="start"/>
        <w:rPr>
          <w:rFonts w:ascii="Goudy" w:hAnsi="Goudy" w:cs="Goudy"/>
          <w:b w:val="false"/>
          <w:sz w:val="24"/>
        </w:rPr>
      </w:pPr>
      <w:r>
        <w:rPr>
          <w:rFonts w:cs="Goudy" w:ascii="Goudy" w:hAnsi="Goudy"/>
          <w:b w:val="false"/>
          <w:sz w:val="24"/>
        </w:rPr>
      </w:r>
    </w:p>
    <w:p>
      <w:pPr>
        <w:pStyle w:val="BodyText3"/>
        <w:rPr>
          <w:rFonts w:ascii="Bookman Old Style" w:hAnsi="Bookman Old Style" w:cs="Bookman Old Style"/>
          <w:b w:val="false"/>
          <w:sz w:val="22"/>
        </w:rPr>
      </w:pPr>
      <w:r>
        <w:rPr>
          <w:rFonts w:cs="Bookman Old Style" w:ascii="Bookman Old Style" w:hAnsi="Bookman Old Style"/>
          <w:b w:val="false"/>
          <w:sz w:val="22"/>
        </w:rPr>
      </w:r>
    </w:p>
    <w:p>
      <w:pPr>
        <w:pStyle w:val="BodyText3"/>
        <w:rPr>
          <w:rFonts w:ascii="Bookman Old Style" w:hAnsi="Bookman Old Style" w:cs="Bookman Old Style"/>
          <w:sz w:val="22"/>
        </w:rPr>
      </w:pPr>
      <w:r>
        <w:rPr>
          <w:rFonts w:cs="Bookman Old Style" w:ascii="Bookman Old Style" w:hAnsi="Bookman Old Style"/>
          <w:sz w:val="22"/>
        </w:rPr>
      </w:r>
    </w:p>
    <w:p>
      <w:pPr>
        <w:pStyle w:val="BodyText3"/>
        <w:rPr>
          <w:rFonts w:ascii="Bookman Old Style" w:hAnsi="Bookman Old Style" w:cs="Bookman Old Style"/>
          <w:sz w:val="22"/>
        </w:rPr>
      </w:pPr>
      <w:r>
        <w:rPr>
          <w:rFonts w:cs="Bookman Old Style" w:ascii="Bookman Old Style" w:hAnsi="Bookman Old Style"/>
          <w:sz w:val="22"/>
        </w:rPr>
      </w:r>
    </w:p>
    <w:p>
      <w:pPr>
        <w:pStyle w:val="BodyText"/>
        <w:jc w:val="both"/>
        <w:rPr>
          <w:rFonts w:ascii="Bookman Old Style" w:hAnsi="Bookman Old Style" w:cs="Bookman Old Style"/>
          <w:sz w:val="20"/>
        </w:rPr>
      </w:pPr>
      <w:r>
        <w:rPr>
          <w:rFonts w:cs="Bookman Old Style" w:ascii="Bookman Old Style" w:hAnsi="Bookman Old Style"/>
          <w:sz w:val="20"/>
        </w:rPr>
        <w:t>The NESA/HEA is a non-profit organization made up of individual members who share in NESA/HEA a common expertise in energy related services; specifically natural gas transportation and trading, electricity generation, transmission and trading, and related financial services. NESA/HEA offers technical conferences, national seminars and professional development workshops.</w:t>
      </w:r>
    </w:p>
    <w:p>
      <w:pPr>
        <w:pStyle w:val="Normal"/>
        <w:rPr>
          <w:rFonts w:ascii="Bookman Old Style" w:hAnsi="Bookman Old Style" w:cs="Bookman Old Style"/>
          <w:i/>
          <w:i/>
          <w:sz w:val="20"/>
        </w:rPr>
      </w:pPr>
      <w:r>
        <w:rPr>
          <w:rFonts w:cs="Bookman Old Style" w:ascii="Bookman Old Style" w:hAnsi="Bookman Old Style"/>
          <w:i/>
          <w:sz w:val="20"/>
        </w:rPr>
      </w:r>
    </w:p>
    <w:p>
      <w:pPr>
        <w:pStyle w:val="Normal"/>
        <w:rPr>
          <w:rFonts w:ascii="Goudy" w:hAnsi="Goudy" w:cs="Goudy"/>
          <w:b/>
          <w:i/>
          <w:i/>
        </w:rPr>
      </w:pPr>
      <w:r>
        <w:rPr>
          <w:rFonts w:cs="Goudy" w:ascii="Goudy" w:hAnsi="Goudy"/>
          <w:b/>
          <w:i/>
        </w:rPr>
      </w:r>
    </w:p>
    <w:p>
      <w:pPr>
        <w:sectPr>
          <w:type w:val="nextPage"/>
          <w:pgSz w:w="12240" w:h="15840"/>
          <w:pgMar w:left="1440" w:right="1440" w:gutter="0" w:header="0" w:top="576" w:footer="0" w:bottom="720"/>
          <w:pgNumType w:fmt="decimal"/>
          <w:formProt w:val="false"/>
          <w:textDirection w:val="lrTb"/>
          <w:docGrid w:type="default" w:linePitch="360" w:charSpace="0"/>
        </w:sectPr>
        <w:pStyle w:val="Normal"/>
        <w:jc w:val="center"/>
        <w:rPr>
          <w:rFonts w:ascii="Goudy" w:hAnsi="Goudy" w:cs="Goudy"/>
          <w:b/>
          <w:i/>
          <w:i/>
          <w:sz w:val="22"/>
        </w:rPr>
      </w:pPr>
      <w:r>
        <w:rPr>
          <w:rFonts w:cs="Goudy" w:ascii="Goudy" w:hAnsi="Goudy"/>
          <w:b/>
          <w:i/>
          <w:sz w:val="22"/>
        </w:rPr>
      </w:r>
    </w:p>
    <w:p>
      <w:pPr>
        <w:pStyle w:val="Normal"/>
        <w:jc w:val="center"/>
        <w:rPr>
          <w:rFonts w:ascii="Goudy" w:hAnsi="Goudy" w:cs="Goudy"/>
          <w:b/>
          <w:i/>
          <w:i/>
          <w:sz w:val="22"/>
        </w:rPr>
      </w:pPr>
      <w:r>
        <w:rPr>
          <w:rFonts w:cs="Goudy" w:ascii="Goudy" w:hAnsi="Goudy"/>
          <w:b/>
          <w:i/>
          <w:sz w:val="22"/>
        </w:rPr>
      </w:r>
    </w:p>
    <w:p>
      <w:pPr>
        <w:pStyle w:val="BodyText2"/>
        <w:rPr/>
      </w:pPr>
      <w:r>
        <w:rPr/>
        <w:t>NESA/HEA’s FINANCIAL PLANNING</w:t>
      </w:r>
    </w:p>
    <w:p>
      <w:pPr>
        <w:pStyle w:val="BodyText2"/>
        <w:rPr>
          <w:sz w:val="40"/>
        </w:rPr>
      </w:pPr>
      <w:r>
        <w:rPr/>
        <w:t xml:space="preserve"> </w:t>
      </w:r>
      <w:r>
        <w:rPr/>
        <w:t>REGISTRATION FORM</w:t>
      </w:r>
    </w:p>
    <w:p>
      <w:pPr>
        <w:pStyle w:val="Heading5"/>
        <w:ind w:hanging="0" w:start="0"/>
        <w:rPr/>
      </w:pPr>
      <w:r>
        <w:rPr/>
        <w:t>February 16</w:t>
      </w:r>
      <w:r>
        <w:rPr>
          <w:vertAlign w:val="superscript"/>
        </w:rPr>
        <w:t>th</w:t>
      </w:r>
      <w:r>
        <w:rPr/>
        <w:t>, 2001</w:t>
      </w:r>
    </w:p>
    <w:p>
      <w:pPr>
        <w:pStyle w:val="Normal"/>
        <w:jc w:val="center"/>
        <w:rPr>
          <w:sz w:val="24"/>
        </w:rPr>
      </w:pPr>
      <w:r>
        <w:rPr>
          <w:sz w:val="24"/>
        </w:rPr>
      </w:r>
    </w:p>
    <w:p>
      <w:pPr>
        <w:pStyle w:val="Normal"/>
        <w:jc w:val="center"/>
        <w:rPr>
          <w:sz w:val="24"/>
        </w:rPr>
      </w:pPr>
      <w:r>
        <w:rPr>
          <w:sz w:val="24"/>
        </w:rPr>
      </w:r>
    </w:p>
    <w:p>
      <w:pPr>
        <w:pStyle w:val="Normal"/>
        <w:jc w:val="center"/>
        <w:rPr/>
      </w:pPr>
      <w:r>
        <w:rPr>
          <w:sz w:val="24"/>
        </w:rPr>
        <w:t xml:space="preserve">To register for the Financial Planning Brown Bag, please complete this form and mail it to  NESA/HEA at 6830 N. Eldridge Parkway, Suite 302 / Houston, TX 77041 or fax it to us at (713) 856-6199.  The cost is </w:t>
      </w:r>
      <w:r>
        <w:rPr>
          <w:b/>
          <w:sz w:val="24"/>
        </w:rPr>
        <w:t>$35 for NESA/HEA members and $50 for</w:t>
      </w:r>
      <w:r>
        <w:rPr>
          <w:sz w:val="24"/>
        </w:rPr>
        <w:t xml:space="preserve"> </w:t>
      </w:r>
      <w:r>
        <w:rPr>
          <w:b/>
          <w:sz w:val="24"/>
        </w:rPr>
        <w:t>non-members.</w:t>
      </w:r>
    </w:p>
    <w:p>
      <w:pPr>
        <w:pStyle w:val="Normal"/>
        <w:jc w:val="center"/>
        <w:rPr>
          <w:b/>
          <w:sz w:val="24"/>
        </w:rPr>
      </w:pPr>
      <w:r>
        <w:rPr>
          <w:b/>
          <w:sz w:val="24"/>
        </w:rPr>
      </w:r>
    </w:p>
    <w:p>
      <w:pPr>
        <w:pStyle w:val="Normal"/>
        <w:jc w:val="center"/>
        <w:rPr>
          <w:sz w:val="24"/>
        </w:rPr>
      </w:pPr>
      <w:r>
        <w:rPr>
          <w:sz w:val="24"/>
        </w:rPr>
        <w:t>Attendance is limited, with space assigned on a first-come, first-served basis.  This luncheon is sure to sell out, so register today!  If you have any questions please contact Lana Moore (713) 856-6525.</w:t>
      </w:r>
    </w:p>
    <w:p>
      <w:pPr>
        <w:pStyle w:val="Normal"/>
        <w:jc w:val="center"/>
        <w:rPr>
          <w:sz w:val="24"/>
        </w:rPr>
      </w:pPr>
      <w:r>
        <w:rPr>
          <w:sz w:val="24"/>
        </w:rPr>
      </w:r>
    </w:p>
    <w:p>
      <w:pPr>
        <w:pStyle w:val="Normal"/>
        <w:jc w:val="center"/>
        <w:rPr>
          <w:sz w:val="24"/>
        </w:rPr>
      </w:pPr>
      <w:r>
        <w:rPr>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Name</w:t>
        <w:tab/>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Badge name</w:t>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Title</w:t>
        <w:tab/>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Heading7"/>
        <w:ind w:hanging="0" w:start="0"/>
        <w:rPr/>
      </w:pPr>
      <w:r>
        <w:rPr/>
        <w:t>Company</w:t>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Address</w:t>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Heading2"/>
        <w:ind w:hanging="0" w:start="0"/>
        <w:jc w:val="center"/>
        <w:rPr/>
      </w:pPr>
      <w:r>
        <w:rPr/>
        <w:t>City</w:t>
        <w:tab/>
        <w:tab/>
        <w:t>_________________   State  _________   Zip  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Phone #</w:t>
        <w:tab/>
        <w:t>____________________    Fax #  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t>E-Mail</w:t>
        <w:tab/>
        <w:tab/>
        <w:t>________________________________________________</w:t>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numPr>
          <w:ilvl w:val="0"/>
          <w:numId w:val="2"/>
        </w:numPr>
        <w:rPr>
          <w:rFonts w:ascii="Footlight MT Light;Book Antiqua" w:hAnsi="Footlight MT Light;Book Antiqua" w:cs="Footlight MT Light;Book Antiqua"/>
          <w:b/>
          <w:sz w:val="24"/>
        </w:rPr>
      </w:pPr>
      <w:r>
        <w:rPr>
          <w:rFonts w:cs="Footlight MT Light;Book Antiqua" w:ascii="Footlight MT Light;Book Antiqua" w:hAnsi="Footlight MT Light;Book Antiqua"/>
          <w:b/>
          <w:sz w:val="24"/>
        </w:rPr>
        <w:t>I want to become a NESA/HEA member, please add $75 to my total</w:t>
      </w:r>
    </w:p>
    <w:p>
      <w:pPr>
        <w:pStyle w:val="Normal"/>
        <w:rPr>
          <w:rFonts w:ascii="Footlight MT Light;Book Antiqua" w:hAnsi="Footlight MT Light;Book Antiqua" w:cs="Footlight MT Light;Book Antiqua"/>
          <w:b/>
          <w:sz w:val="24"/>
        </w:rPr>
      </w:pPr>
      <w:r>
        <w:rPr>
          <w:rFonts w:cs="Footlight MT Light;Book Antiqua" w:ascii="Footlight MT Light;Book Antiqua" w:hAnsi="Footlight MT Light;Book Antiqua"/>
          <w:b/>
          <w:sz w:val="24"/>
        </w:rPr>
      </w:r>
    </w:p>
    <w:p>
      <w:pPr>
        <w:pStyle w:val="Normal"/>
        <w:rPr/>
      </w:pPr>
      <w:r>
        <w:rPr>
          <w:rFonts w:cs="Footlight MT Light;Book Antiqua" w:ascii="Footlight MT Light;Book Antiqua" w:hAnsi="Footlight MT Light;Book Antiqua"/>
          <w:b/>
          <w:sz w:val="24"/>
        </w:rPr>
        <w:t xml:space="preserve">Payment method:  ___ Check or money order payable to </w:t>
      </w:r>
      <w:r>
        <w:rPr>
          <w:rFonts w:cs="Footlight MT Light;Book Antiqua" w:ascii="Footlight MT Light;Book Antiqua" w:hAnsi="Footlight MT Light;Book Antiqua"/>
          <w:b/>
          <w:sz w:val="26"/>
        </w:rPr>
        <w:t>NESA/HEA</w:t>
      </w:r>
      <w:r>
        <w:rPr>
          <w:rFonts w:cs="Footlight MT Light;Book Antiqua" w:ascii="Footlight MT Light;Book Antiqua" w:hAnsi="Footlight MT Light;Book Antiqua"/>
          <w:b/>
          <w:sz w:val="24"/>
        </w:rPr>
        <w:t xml:space="preserve"> or</w:t>
      </w:r>
    </w:p>
    <w:p>
      <w:pPr>
        <w:pStyle w:val="Normal"/>
        <w:ind w:firstLine="720" w:start="1440" w:end="0"/>
        <w:rPr>
          <w:rFonts w:ascii="Footlight MT Light;Book Antiqua" w:hAnsi="Footlight MT Light;Book Antiqua" w:cs="Footlight MT Light;Book Antiqua"/>
          <w:sz w:val="24"/>
        </w:rPr>
      </w:pPr>
      <w:r>
        <w:rPr>
          <w:rFonts w:cs="Footlight MT Light;Book Antiqua" w:ascii="Footlight MT Light;Book Antiqua" w:hAnsi="Footlight MT Light;Book Antiqua"/>
          <w:b/>
          <w:sz w:val="24"/>
        </w:rPr>
        <w:t>Bill my credit card ___ Visa ___MasterCard ___ Amex</w:t>
      </w:r>
    </w:p>
    <w:p>
      <w:pPr>
        <w:pStyle w:val="Normal"/>
        <w:rPr/>
      </w:pPr>
      <w:r>
        <w:rPr>
          <w:rFonts w:cs="Footlight MT Light;Book Antiqua" w:ascii="Footlight MT Light;Book Antiqua" w:hAnsi="Footlight MT Light;Book Antiqua"/>
          <w:sz w:val="24"/>
        </w:rPr>
        <w:t xml:space="preserve">$ </w:t>
      </w:r>
      <w:r>
        <w:rPr>
          <w:rFonts w:cs="Footlight MT Light;Book Antiqua" w:ascii="Footlight MT Light;Book Antiqua" w:hAnsi="Footlight MT Light;Book Antiqua"/>
          <w:sz w:val="24"/>
          <w:u w:val="single"/>
        </w:rPr>
        <w:tab/>
        <w:tab/>
      </w:r>
    </w:p>
    <w:p>
      <w:pPr>
        <w:pStyle w:val="Normal"/>
        <w:rPr/>
      </w:pPr>
      <w:r>
        <w:rPr>
          <w:rFonts w:cs="Footlight MT Light;Book Antiqua" w:ascii="Footlight MT Light;Book Antiqua" w:hAnsi="Footlight MT Light;Book Antiqua"/>
          <w:sz w:val="24"/>
        </w:rPr>
        <w:t xml:space="preserve">Card Number </w:t>
      </w:r>
      <w:r>
        <w:rPr>
          <w:rFonts w:cs="Footlight MT Light;Book Antiqua" w:ascii="Footlight MT Light;Book Antiqua" w:hAnsi="Footlight MT Light;Book Antiqua"/>
          <w:sz w:val="24"/>
          <w:u w:val="single"/>
        </w:rPr>
        <w:tab/>
        <w:tab/>
        <w:tab/>
        <w:tab/>
        <w:tab/>
        <w:tab/>
        <w:tab/>
        <w:tab/>
        <w:tab/>
        <w:tab/>
      </w:r>
    </w:p>
    <w:p>
      <w:pPr>
        <w:pStyle w:val="Normal"/>
        <w:rPr/>
      </w:pPr>
      <w:r>
        <w:rPr>
          <w:rFonts w:cs="Footlight MT Light;Book Antiqua" w:ascii="Footlight MT Light;Book Antiqua" w:hAnsi="Footlight MT Light;Book Antiqua"/>
          <w:sz w:val="24"/>
        </w:rPr>
        <w:t xml:space="preserve">Expiration Date </w:t>
      </w:r>
      <w:r>
        <w:rPr>
          <w:rFonts w:cs="Footlight MT Light;Book Antiqua" w:ascii="Footlight MT Light;Book Antiqua" w:hAnsi="Footlight MT Light;Book Antiqua"/>
          <w:sz w:val="24"/>
          <w:u w:val="single"/>
        </w:rPr>
        <w:tab/>
        <w:tab/>
        <w:tab/>
        <w:tab/>
        <w:tab/>
        <w:tab/>
        <w:tab/>
        <w:tab/>
        <w:tab/>
        <w:tab/>
      </w:r>
    </w:p>
    <w:p>
      <w:pPr>
        <w:pStyle w:val="Normal"/>
        <w:rPr/>
      </w:pPr>
      <w:r>
        <w:rPr>
          <w:rFonts w:cs="Footlight MT Light;Book Antiqua" w:ascii="Footlight MT Light;Book Antiqua" w:hAnsi="Footlight MT Light;Book Antiqua"/>
          <w:sz w:val="24"/>
        </w:rPr>
        <w:t xml:space="preserve">Name on Card (please print) </w:t>
      </w:r>
      <w:r>
        <w:rPr>
          <w:rFonts w:cs="Footlight MT Light;Book Antiqua" w:ascii="Footlight MT Light;Book Antiqua" w:hAnsi="Footlight MT Light;Book Antiqua"/>
          <w:sz w:val="24"/>
          <w:u w:val="single"/>
        </w:rPr>
        <w:tab/>
        <w:tab/>
        <w:tab/>
        <w:tab/>
        <w:tab/>
        <w:tab/>
        <w:tab/>
        <w:tab/>
      </w:r>
    </w:p>
    <w:p>
      <w:pPr>
        <w:pStyle w:val="Normal"/>
        <w:rPr>
          <w:rFonts w:ascii="Footlight MT Light;Book Antiqua" w:hAnsi="Footlight MT Light;Book Antiqua" w:cs="Footlight MT Light;Book Antiqua"/>
          <w:sz w:val="16"/>
          <w:u w:val="single"/>
        </w:rPr>
      </w:pPr>
      <w:r>
        <w:rPr>
          <w:rFonts w:cs="Footlight MT Light;Book Antiqua" w:ascii="Footlight MT Light;Book Antiqua" w:hAnsi="Footlight MT Light;Book Antiqua"/>
          <w:sz w:val="24"/>
        </w:rPr>
        <w:t xml:space="preserve">Signature </w:t>
      </w:r>
      <w:r>
        <w:rPr>
          <w:rFonts w:cs="Footlight MT Light;Book Antiqua" w:ascii="Footlight MT Light;Book Antiqua" w:hAnsi="Footlight MT Light;Book Antiqua"/>
          <w:sz w:val="24"/>
          <w:u w:val="single"/>
        </w:rPr>
        <w:tab/>
        <w:tab/>
        <w:tab/>
        <w:tab/>
        <w:tab/>
        <w:tab/>
        <w:tab/>
        <w:tab/>
        <w:tab/>
        <w:tab/>
        <w:tab/>
      </w:r>
    </w:p>
    <w:p>
      <w:pPr>
        <w:pStyle w:val="Normal"/>
        <w:jc w:val="center"/>
        <w:rPr>
          <w:rFonts w:ascii="Footlight MT Light;Book Antiqua" w:hAnsi="Footlight MT Light;Book Antiqua" w:cs="Footlight MT Light;Book Antiqua"/>
          <w:sz w:val="24"/>
          <w:u w:val="single"/>
        </w:rPr>
      </w:pPr>
      <w:r>
        <w:rPr>
          <w:rFonts w:cs="Footlight MT Light;Book Antiqua" w:ascii="Footlight MT Light;Book Antiqua" w:hAnsi="Footlight MT Light;Book Antiqua"/>
          <w:sz w:val="24"/>
          <w:u w:val="single"/>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Normal"/>
        <w:jc w:val="center"/>
        <w:rPr>
          <w:rFonts w:ascii="Footlight MT Light;Book Antiqua" w:hAnsi="Footlight MT Light;Book Antiqua" w:cs="Footlight MT Light;Book Antiqua"/>
          <w:sz w:val="24"/>
        </w:rPr>
      </w:pPr>
      <w:r>
        <w:rPr>
          <w:rFonts w:cs="Footlight MT Light;Book Antiqua" w:ascii="Footlight MT Light;Book Antiqua" w:hAnsi="Footlight MT Light;Book Antiqua"/>
          <w:sz w:val="24"/>
        </w:rPr>
      </w:r>
    </w:p>
    <w:p>
      <w:pPr>
        <w:pStyle w:val="Heading2"/>
        <w:tabs>
          <w:tab w:val="left" w:pos="720" w:leader="none"/>
        </w:tabs>
        <w:ind w:hanging="0" w:start="0"/>
        <w:jc w:val="both"/>
        <w:rPr/>
      </w:pPr>
      <w:r>
        <w:rPr>
          <w:sz w:val="20"/>
        </w:rPr>
        <w:t>The NESA/HEA is registered with the National Association of State Boards of Accountancy as</w:t>
      </w:r>
      <w:r>
        <w:rPr>
          <w:sz w:val="20"/>
          <w:lang w:eastAsia="en-CA"/>
        </w:rPr>
        <w:t xml:space="preserve"> a sponsor of continuing professional education on the National Registry of CPE Sponsors.  State boards of accountancy have final authority on the acceptance of individual courses.  Complaints regarding sponsors may be addressed to NASBA, 30 Lexington Avenue, New York, NY 10168-0002, 800.CPA.CPE1.</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altName w:val="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Albertus Medium">
    <w:charset w:val="00" w:characterSet="windows-1252"/>
    <w:family w:val="swiss"/>
    <w:pitch w:val="variable"/>
  </w:font>
  <w:font w:name="Bookman Old Style">
    <w:charset w:val="00" w:characterSet="windows-1252"/>
    <w:family w:val="roman"/>
    <w:pitch w:val="variable"/>
  </w:font>
  <w:font w:name="Goudy">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Book Antiqua" w:hAnsi="Footlight MT Light;Book Antiqua" w:cs="Footlight MT Light;Book Antiqua"/>
      <w:sz w:val="24"/>
      <w:lang w:eastAsia="en-US"/>
    </w:rPr>
  </w:style>
  <w:style w:type="paragraph" w:styleId="Heading3">
    <w:name w:val="heading 3"/>
    <w:basedOn w:val="Normal"/>
    <w:next w:val="Normal"/>
    <w:qFormat/>
    <w:pPr>
      <w:keepNext w:val="true"/>
      <w:numPr>
        <w:ilvl w:val="2"/>
        <w:numId w:val="1"/>
      </w:numPr>
      <w:jc w:val="center"/>
      <w:outlineLvl w:val="2"/>
    </w:pPr>
    <w:rPr>
      <w:b/>
      <w:sz w:val="36"/>
    </w:rPr>
  </w:style>
  <w:style w:type="paragraph" w:styleId="Heading4">
    <w:name w:val="heading 4"/>
    <w:basedOn w:val="Normal"/>
    <w:next w:val="Normal"/>
    <w:qFormat/>
    <w:pPr>
      <w:keepNext w:val="true"/>
      <w:numPr>
        <w:ilvl w:val="3"/>
        <w:numId w:val="1"/>
      </w:numPr>
      <w:jc w:val="center"/>
      <w:outlineLvl w:val="3"/>
    </w:pPr>
    <w:rPr>
      <w:rFonts w:ascii="Footlight MT Light;Book Antiqua" w:hAnsi="Footlight MT Light;Book Antiqua" w:cs="Footlight MT Light;Book Antiqua"/>
      <w:b/>
      <w:sz w:val="24"/>
    </w:rPr>
  </w:style>
  <w:style w:type="paragraph" w:styleId="Heading5">
    <w:name w:val="heading 5"/>
    <w:basedOn w:val="Normal"/>
    <w:next w:val="Normal"/>
    <w:qFormat/>
    <w:pPr>
      <w:keepNext w:val="true"/>
      <w:numPr>
        <w:ilvl w:val="4"/>
        <w:numId w:val="1"/>
      </w:numPr>
      <w:jc w:val="center"/>
      <w:outlineLvl w:val="4"/>
    </w:pPr>
    <w:rPr>
      <w:b/>
      <w:sz w:val="44"/>
    </w:rPr>
  </w:style>
  <w:style w:type="paragraph" w:styleId="Heading6">
    <w:name w:val="heading 6"/>
    <w:basedOn w:val="Normal"/>
    <w:next w:val="Normal"/>
    <w:qFormat/>
    <w:pPr>
      <w:keepNext w:val="true"/>
      <w:numPr>
        <w:ilvl w:val="5"/>
        <w:numId w:val="1"/>
      </w:numPr>
      <w:jc w:val="center"/>
      <w:outlineLvl w:val="5"/>
    </w:pPr>
    <w:rPr>
      <w:sz w:val="36"/>
    </w:rPr>
  </w:style>
  <w:style w:type="paragraph" w:styleId="Heading7">
    <w:name w:val="heading 7"/>
    <w:basedOn w:val="Normal"/>
    <w:next w:val="Normal"/>
    <w:qFormat/>
    <w:pPr>
      <w:keepNext w:val="true"/>
      <w:numPr>
        <w:ilvl w:val="6"/>
        <w:numId w:val="1"/>
      </w:numPr>
      <w:jc w:val="center"/>
      <w:outlineLvl w:val="6"/>
    </w:pPr>
    <w:rPr>
      <w:rFonts w:ascii="Footlight MT Light;Book Antiqua" w:hAnsi="Footlight MT Light;Book Antiqua" w:cs="Footlight MT Light;Book Antiqua"/>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Wingdings" w:hAnsi="Wingdings" w:cs="Wingdings"/>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 w:type="paragraph" w:styleId="BodyText3">
    <w:name w:val="Body Text 3"/>
    <w:basedOn w:val="Normal"/>
    <w:qFormat/>
    <w:pPr>
      <w:jc w:val="center"/>
    </w:pPr>
    <w:rPr>
      <w:rFonts w:ascii="Footlight MT Light;Book Antiqua" w:hAnsi="Footlight MT Light;Book Antiqua" w:cs="Footlight MT Light;Book Antiqua"/>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2001-01-16T13:11:00Z</dcterms:created>
  <dc:creator>Susan Hall</dc:creator>
  <dc:description/>
  <dc:language>en-CA</dc:language>
  <cp:lastModifiedBy>Lana Belnoske</cp:lastModifiedBy>
  <cp:lastPrinted>2001-01-16T07:34:00Z</cp:lastPrinted>
  <dcterms:modified xsi:type="dcterms:W3CDTF">2001-01-16T14:00:00Z</dcterms:modified>
  <cp:revision>3</cp:revision>
  <dc:subject/>
  <dc:title>May 12, 1997</dc:title>
</cp:coreProperties>
</file>