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i/>
        </w:rPr>
        <w:t>BBAIRS Transactions</w:t>
      </w:r>
      <w:r>
        <w:rPr/>
        <w:t>.  Any interest rate or currency swap transaction into which the parties have entered and in respect of which the confirmation or other confirming evidence refers to or incorporates the British Bankers’ Association London Interbank Interest Rate Swaps Recommended Terms and Conditions (1985 edition) (“BBAIRS Terms”) will be governed by this Agreement.  Any interest rate or currency swap transaction into which the parties may enter and in respect of which the confirmation or other confirming evidence refers to or incorporates the BBAIRS Terms will be governed by this Agreement in all circumstances except when the parties expressly agree that this provision will not apply.  Each such transaction will be deemed to be a Transaction and each such confirmation or other confirming evidence will be deemed to constitute a Confirmation for purposes of this Agreement.  Section D (except Section D.5), E (except Section E.5) and F (except Section F.5) of the BBAIRS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BBAIRS Terms and this Agreement, this Agreement will govern.  Section G of the BBAIRS Terms is not applicable to any transaction to which this provision relates.</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2001-02-06T16:50:00Z</dcterms:created>
  <dc:creator>cstclai</dc:creator>
  <dc:description/>
  <dc:language>en-CA</dc:language>
  <cp:lastModifiedBy>cstclai</cp:lastModifiedBy>
  <dcterms:modified xsi:type="dcterms:W3CDTF">2001-02-06T16:50:00Z</dcterms:modified>
  <cp:revision>1</cp:revision>
  <dc:subject/>
  <dc:title>BBAIRS Transactions</dc:title>
</cp:coreProperties>
</file>