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TERM SHEET</w:t>
      </w:r>
    </w:p>
    <w:p>
      <w:pPr>
        <w:pStyle w:val="Normal"/>
        <w:jc w:val="center"/>
        <w:rPr>
          <w:b/>
        </w:rPr>
      </w:pPr>
      <w:r>
        <w:rPr>
          <w:b/>
        </w:rPr>
        <w:t>PROPOSED BASIS SWAP</w:t>
      </w:r>
    </w:p>
    <w:p>
      <w:pPr>
        <w:pStyle w:val="Normal"/>
        <w:jc w:val="center"/>
        <w:rPr>
          <w:b/>
        </w:rPr>
      </w:pPr>
      <w:r>
        <w:rPr>
          <w:b/>
        </w:rPr>
        <w:t>BETWEEN</w:t>
      </w:r>
    </w:p>
    <w:p>
      <w:pPr>
        <w:pStyle w:val="Normal"/>
        <w:jc w:val="center"/>
        <w:rPr>
          <w:b/>
        </w:rPr>
      </w:pPr>
      <w:r>
        <w:rPr>
          <w:b/>
        </w:rPr>
        <w:t>COYOTE SPRINGS 2, LLC (CS2)</w:t>
      </w:r>
    </w:p>
    <w:p>
      <w:pPr>
        <w:pStyle w:val="Normal"/>
        <w:jc w:val="center"/>
        <w:rPr>
          <w:b/>
        </w:rPr>
      </w:pPr>
      <w:r>
        <w:rPr>
          <w:b/>
        </w:rPr>
        <w:t>AND</w:t>
      </w:r>
    </w:p>
    <w:p>
      <w:pPr>
        <w:pStyle w:val="Normal"/>
        <w:jc w:val="center"/>
        <w:rPr>
          <w:b/>
        </w:rPr>
      </w:pPr>
      <w:r>
        <w:rPr>
          <w:b/>
        </w:rPr>
        <w:t>ENRON POWER MARKETING INC. (EPMI)</w:t>
      </w:r>
    </w:p>
    <w:p>
      <w:pPr>
        <w:pStyle w:val="Normal"/>
        <w:rPr>
          <w:b/>
        </w:rPr>
      </w:pPr>
      <w:r>
        <w:rPr>
          <w:b/>
        </w:rPr>
      </w:r>
    </w:p>
    <w:p>
      <w:pPr>
        <w:pStyle w:val="Normal"/>
        <w:rPr/>
      </w:pPr>
      <w:r>
        <w:rPr/>
      </w:r>
    </w:p>
    <w:p>
      <w:pPr>
        <w:pStyle w:val="Normal"/>
        <w:ind w:firstLine="720" w:end="0"/>
        <w:rPr/>
      </w:pPr>
      <w:r>
        <w:rPr/>
        <w:t xml:space="preserve">At the request of prospective purchasers of equity in CS2, a wholly owned subsidiary of Enron North America, provided is a proposal defining the terms and conditions under which EPMI would be willing to swap physical power with CS2 at the interconnecting point between CS2 and BPA.  EPMI would deliver an equal amount of power on behalf of CS2 at the point of delivery (POD) known as the California Oregon Border (COB).  </w:t>
      </w:r>
    </w:p>
    <w:p>
      <w:pPr>
        <w:pStyle w:val="Normal"/>
        <w:rPr/>
      </w:pPr>
      <w:r>
        <w:rPr/>
      </w:r>
    </w:p>
    <w:p>
      <w:pPr>
        <w:pStyle w:val="Heading1"/>
        <w:ind w:hanging="0" w:start="0"/>
        <w:rPr/>
      </w:pPr>
      <w:r>
        <w:rPr/>
        <w:t>OPTION A</w:t>
      </w:r>
    </w:p>
    <w:p>
      <w:pPr>
        <w:pStyle w:val="Normal"/>
        <w:rPr/>
      </w:pPr>
      <w:r>
        <w:rPr/>
      </w:r>
    </w:p>
    <w:p>
      <w:pPr>
        <w:pStyle w:val="Normal"/>
        <w:rPr/>
      </w:pPr>
      <w:r>
        <w:rPr/>
        <w:t>Term:  5 years - January 2001 – December 2005</w:t>
      </w:r>
    </w:p>
    <w:p>
      <w:pPr>
        <w:pStyle w:val="Normal"/>
        <w:rPr/>
      </w:pPr>
      <w:r>
        <w:rPr/>
      </w:r>
    </w:p>
    <w:p>
      <w:pPr>
        <w:pStyle w:val="Normal"/>
        <w:rPr/>
      </w:pPr>
      <w:r>
        <w:rPr/>
        <w:t>Quantity:  CS2 would make available to EPMI up to 280MW hourly.  EPMI will make available to CS2 an equal amount of power hourly.</w:t>
      </w:r>
    </w:p>
    <w:p>
      <w:pPr>
        <w:pStyle w:val="Normal"/>
        <w:rPr/>
      </w:pPr>
      <w:r>
        <w:rPr/>
      </w:r>
    </w:p>
    <w:p>
      <w:pPr>
        <w:pStyle w:val="Normal"/>
        <w:rPr/>
      </w:pPr>
      <w:r>
        <w:rPr/>
        <w:t>Price:  $3.20 kw-month calculated on total demand purchased of 280MW and 4.9% losses on all megawatt hours delivered</w:t>
      </w:r>
    </w:p>
    <w:p>
      <w:pPr>
        <w:pStyle w:val="Normal"/>
        <w:rPr/>
      </w:pPr>
      <w:r>
        <w:rPr/>
      </w:r>
    </w:p>
    <w:p>
      <w:pPr>
        <w:pStyle w:val="Normal"/>
        <w:rPr/>
      </w:pPr>
      <w:r>
        <w:rPr/>
        <w:t>POD to EPMI: CS2 500KV interconnection with BPA</w:t>
      </w:r>
    </w:p>
    <w:p>
      <w:pPr>
        <w:pStyle w:val="Normal"/>
        <w:rPr/>
      </w:pPr>
      <w:r>
        <w:rPr/>
      </w:r>
    </w:p>
    <w:p>
      <w:pPr>
        <w:pStyle w:val="Normal"/>
        <w:rPr/>
      </w:pPr>
      <w:r>
        <w:rPr/>
        <w:t>POD to CS2: COB or other points as mutually agreed.</w:t>
      </w:r>
    </w:p>
    <w:p>
      <w:pPr>
        <w:pStyle w:val="Normal"/>
        <w:rPr/>
      </w:pPr>
      <w:r>
        <w:rPr/>
      </w:r>
    </w:p>
    <w:p>
      <w:pPr>
        <w:pStyle w:val="Normal"/>
        <w:rPr>
          <w:b/>
          <w:i/>
          <w:i/>
        </w:rPr>
      </w:pPr>
      <w:r>
        <w:rPr>
          <w:b/>
          <w:i/>
        </w:rPr>
        <w:t>OPTION B</w:t>
      </w:r>
    </w:p>
    <w:p>
      <w:pPr>
        <w:pStyle w:val="Normal"/>
        <w:rPr>
          <w:b/>
          <w:i/>
          <w:i/>
        </w:rPr>
      </w:pPr>
      <w:r>
        <w:rPr>
          <w:b/>
          <w:i/>
        </w:rPr>
      </w:r>
    </w:p>
    <w:p>
      <w:pPr>
        <w:pStyle w:val="Normal"/>
        <w:rPr/>
      </w:pPr>
      <w:r>
        <w:rPr/>
        <w:t xml:space="preserve">Term:  5 years or more beginning January 2001 </w:t>
      </w:r>
    </w:p>
    <w:p>
      <w:pPr>
        <w:pStyle w:val="Normal"/>
        <w:rPr/>
      </w:pPr>
      <w:r>
        <w:rPr/>
      </w:r>
    </w:p>
    <w:p>
      <w:pPr>
        <w:pStyle w:val="Normal"/>
        <w:rPr/>
      </w:pPr>
      <w:r>
        <w:rPr/>
        <w:t>Quantity: CS2 would make available to EPMI up to 280MW hourly.  EPMI will make available to CS2 an equal amount of power hourly.</w:t>
      </w:r>
    </w:p>
    <w:p>
      <w:pPr>
        <w:pStyle w:val="Normal"/>
        <w:rPr/>
      </w:pPr>
      <w:r>
        <w:rPr/>
      </w:r>
    </w:p>
    <w:p>
      <w:pPr>
        <w:pStyle w:val="Normal"/>
        <w:rPr/>
      </w:pPr>
      <w:r>
        <w:rPr/>
        <w:t>Price:  The then current BPA full tariff rate minus $ .10 per megawatt hour @ 100% load factor (regardless of actual load factor) plus the then applicable loss rate on all MW hours delivered.</w:t>
      </w:r>
    </w:p>
    <w:p>
      <w:pPr>
        <w:pStyle w:val="Normal"/>
        <w:rPr/>
      </w:pPr>
      <w:r>
        <w:rPr/>
      </w:r>
    </w:p>
    <w:p>
      <w:pPr>
        <w:pStyle w:val="Normal"/>
        <w:rPr/>
      </w:pPr>
      <w:r>
        <w:rPr/>
        <w:t>POD to EPMI: CS2 500KV interconnection with BPA</w:t>
      </w:r>
    </w:p>
    <w:p>
      <w:pPr>
        <w:pStyle w:val="Normal"/>
        <w:rPr/>
      </w:pPr>
      <w:r>
        <w:rPr/>
      </w:r>
    </w:p>
    <w:p>
      <w:pPr>
        <w:pStyle w:val="Normal"/>
        <w:rPr/>
      </w:pPr>
      <w:r>
        <w:rPr/>
        <w:t>POD to CS2: COB or other points as mutually agreed</w:t>
      </w:r>
    </w:p>
    <w:p>
      <w:pPr>
        <w:pStyle w:val="Normal"/>
        <w:rPr/>
      </w:pPr>
      <w:r>
        <w:rPr/>
      </w:r>
    </w:p>
    <w:p>
      <w:pPr>
        <w:pStyle w:val="Heading1"/>
        <w:ind w:hanging="0" w:start="0"/>
        <w:rPr/>
      </w:pPr>
      <w:r>
        <w:rPr/>
        <w:t>SCHEDULING PROVISIONS</w:t>
      </w:r>
    </w:p>
    <w:p>
      <w:pPr>
        <w:pStyle w:val="Normal"/>
        <w:rPr/>
      </w:pPr>
      <w:r>
        <w:rPr/>
      </w:r>
    </w:p>
    <w:p>
      <w:pPr>
        <w:pStyle w:val="Normal"/>
        <w:rPr/>
      </w:pPr>
      <w:r>
        <w:rPr/>
        <w:t>All schedules will be provided on a day ahead prescheduled basis in accordance with standard regional scheduling practices.  On a prescheduled basis CS2 may request other points of delivery from EPMI including the Mid Columbia.  EPMI will make best efforts to accommodate such changes.</w:t>
      </w:r>
    </w:p>
    <w:p>
      <w:pPr>
        <w:pStyle w:val="Normal"/>
        <w:rPr/>
      </w:pPr>
      <w:r>
        <w:rPr/>
      </w:r>
    </w:p>
    <w:p>
      <w:pPr>
        <w:pStyle w:val="Normal"/>
        <w:rPr/>
      </w:pPr>
      <w:r>
        <w:rPr/>
      </w:r>
    </w:p>
    <w:p>
      <w:pPr>
        <w:pStyle w:val="BodyText2"/>
        <w:rPr/>
      </w:pPr>
      <w:r>
        <w:rPr/>
        <w:t>This proposal is for discussion purposes only to facilitate the negotiation, preparation, and execution of definitive documents. It is not intended to create a binding or enforceable contract or to be complete and all-inclusive of the terms of the related transaction. This is not an offer or a commitment of Enron or any parent or affiliate. The transaction described above is not complete, is subject to further review and approval by the boards of directors of the parties and the execution of definitive agreements containing all appropriate provisions, including, but not limited to, those related to credit, limitation of damages, remedies and force majeure. The prices above are subject to change during the time period of evaluation and negotiation of definitive agreements.</w:t>
      </w:r>
    </w:p>
    <w:p>
      <w:pPr>
        <w:pStyle w:val="Normal"/>
        <w:rPr/>
      </w:pPr>
      <w:r>
        <w:rPr/>
      </w:r>
    </w:p>
    <w:p>
      <w:pPr>
        <w:pStyle w:val="Normal"/>
        <w:jc w:val="center"/>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TIME \@"H:mm\ AM/PM" </w:instrText>
    </w:r>
    <w:r>
      <w:rPr/>
      <w:fldChar w:fldCharType="separate"/>
    </w:r>
    <w:r>
      <w:rPr/>
      <w:t>8:13 AM</w:t>
    </w:r>
    <w:r>
      <w:rPr/>
      <w:fldChar w:fldCharType="end"/>
    </w:r>
    <w:r>
      <w:rPr/>
      <w:t xml:space="preserve">  </w:t>
    </w:r>
    <w:r>
      <w:rPr/>
      <w:fldChar w:fldCharType="begin"/>
    </w:r>
    <w:r>
      <w:rPr/>
      <w:instrText xml:space="preserve"> DATE \@"MM\/dd\/yy" </w:instrText>
    </w:r>
    <w:r>
      <w:rPr/>
      <w:fldChar w:fldCharType="separate"/>
    </w:r>
    <w:r>
      <w:rPr/>
      <w:t>09/28/25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b/>
      <w:i/>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2000-02-04T17:47:00Z</dcterms:created>
  <dc:creator>jthomas</dc:creator>
  <dc:description/>
  <dc:language>en-CA</dc:language>
  <cp:lastModifiedBy>lwente</cp:lastModifiedBy>
  <cp:lastPrinted>2000-02-04T17:06:00Z</cp:lastPrinted>
  <dcterms:modified xsi:type="dcterms:W3CDTF">2000-02-05T00:00:00Z</dcterms:modified>
  <cp:revision>3</cp:revision>
  <dc:subject/>
  <dc:title>TERM SHEET</dc:title>
</cp:coreProperties>
</file>