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3175" w:type="dxa"/>
        <w:jc w:val="start"/>
        <w:tblInd w:w="0" w:type="dxa"/>
        <w:tblLayout w:type="fixed"/>
        <w:tblCellMar>
          <w:top w:w="0" w:type="dxa"/>
          <w:start w:w="108" w:type="dxa"/>
          <w:bottom w:w="0" w:type="dxa"/>
          <w:end w:w="108" w:type="dxa"/>
        </w:tblCellMar>
      </w:tblPr>
      <w:tblGrid>
        <w:gridCol w:w="828"/>
        <w:gridCol w:w="549"/>
        <w:gridCol w:w="1377"/>
        <w:gridCol w:w="1377"/>
        <w:gridCol w:w="1506"/>
        <w:gridCol w:w="7538"/>
      </w:tblGrid>
      <w:tr>
        <w:trPr/>
        <w:tc>
          <w:tcPr>
            <w:tcW w:w="828" w:type="dxa"/>
            <w:tcBorders/>
          </w:tcPr>
          <w:p>
            <w:pPr>
              <w:pStyle w:val="Normal"/>
              <w:rPr/>
            </w:pPr>
            <w:r>
              <w:rPr/>
              <w:object w:dxaOrig="4635" w:dyaOrig="460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7.8pt;height:27.6pt" filled="f" o:ole="">
                  <v:imagedata r:id="rId3" o:title=""/>
                </v:shape>
                <o:OLEObject Type="Embed" ProgID="" ShapeID="ole_rId2" DrawAspect="Content" ObjectID="_682892579" r:id="rId2"/>
              </w:object>
            </w:r>
          </w:p>
        </w:tc>
        <w:tc>
          <w:tcPr>
            <w:tcW w:w="12347" w:type="dxa"/>
            <w:gridSpan w:val="5"/>
            <w:tcBorders/>
          </w:tcPr>
          <w:p>
            <w:pPr>
              <w:pStyle w:val="Normal"/>
              <w:jc w:val="center"/>
              <w:rPr>
                <w:rFonts w:ascii="Antique Olive" w:hAnsi="Antique Olive" w:cs="Antique Olive"/>
                <w:b/>
                <w:sz w:val="32"/>
              </w:rPr>
            </w:pPr>
            <w:r>
              <w:rPr>
                <w:rFonts w:cs="Antique Olive" w:ascii="Antique Olive" w:hAnsi="Antique Olive"/>
                <w:b/>
                <w:sz w:val="32"/>
              </w:rPr>
              <w:t>ENRON INTERNATIONAL SOUTHERN CONE</w:t>
            </w:r>
          </w:p>
        </w:tc>
      </w:tr>
      <w:tr>
        <w:trPr/>
        <w:tc>
          <w:tcPr>
            <w:tcW w:w="13175" w:type="dxa"/>
            <w:gridSpan w:val="6"/>
            <w:tcBorders/>
            <w:shd w:fill="FFFFFF" w:val="clear"/>
          </w:tcPr>
          <w:p>
            <w:pPr>
              <w:pStyle w:val="Heading2"/>
              <w:ind w:hanging="0" w:start="0"/>
              <w:rPr/>
            </w:pPr>
            <w:r>
              <w:rPr/>
              <w:t>PROJECTS</w:t>
            </w:r>
          </w:p>
        </w:tc>
      </w:tr>
      <w:tr>
        <w:trPr/>
        <w:tc>
          <w:tcPr>
            <w:tcW w:w="13175" w:type="dxa"/>
            <w:gridSpan w:val="6"/>
            <w:tcBorders/>
            <w:shd w:fill="FFFFFF" w:val="clear"/>
          </w:tcPr>
          <w:p>
            <w:pPr>
              <w:pStyle w:val="Normal"/>
              <w:jc w:val="center"/>
              <w:rPr>
                <w:color w:val="000000"/>
              </w:rPr>
            </w:pPr>
            <w:r>
              <w:rPr>
                <w:color w:val="000000"/>
              </w:rPr>
              <w:t>BA TRADING</w:t>
            </w:r>
          </w:p>
        </w:tc>
      </w:tr>
      <w:tr>
        <w:trPr/>
        <w:tc>
          <w:tcPr>
            <w:tcW w:w="13175" w:type="dxa"/>
            <w:gridSpan w:val="6"/>
            <w:tcBorders/>
            <w:shd w:fill="FFFFFF" w:val="clear"/>
          </w:tcPr>
          <w:p>
            <w:pPr>
              <w:pStyle w:val="Normal"/>
              <w:jc w:val="center"/>
              <w:rPr/>
            </w:pPr>
            <w:r>
              <w:rPr>
                <w:color w:val="000000"/>
              </w:rPr>
              <w:t>As of  December 27</w:t>
            </w:r>
            <w:r>
              <w:rPr>
                <w:color w:val="000000"/>
                <w:vertAlign w:val="superscript"/>
              </w:rPr>
              <w:t>th</w:t>
            </w:r>
            <w:r>
              <w:rPr>
                <w:color w:val="000000"/>
              </w:rPr>
              <w:t xml:space="preserve">  , 1999 </w:t>
            </w:r>
          </w:p>
        </w:tc>
      </w:tr>
      <w:tr>
        <w:trPr/>
        <w:tc>
          <w:tcPr>
            <w:tcW w:w="13175" w:type="dxa"/>
            <w:gridSpan w:val="6"/>
            <w:tcBorders/>
            <w:shd w:fill="FFFFFF" w:val="clear"/>
          </w:tcPr>
          <w:p>
            <w:pPr>
              <w:pStyle w:val="Normal"/>
              <w:snapToGrid w:val="false"/>
              <w:rPr>
                <w:b/>
                <w:color w:val="000000"/>
              </w:rPr>
            </w:pPr>
            <w:r>
              <w:rPr>
                <w:b/>
                <w:color w:val="000000"/>
              </w:rPr>
            </w:r>
          </w:p>
        </w:tc>
      </w:tr>
      <w:tr>
        <w:trPr/>
        <w:tc>
          <w:tcPr>
            <w:tcW w:w="1377" w:type="dxa"/>
            <w:gridSpan w:val="2"/>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b/>
                <w:color w:val="000000"/>
              </w:rPr>
            </w:pPr>
            <w:r>
              <w:rPr>
                <w:b/>
                <w:color w:val="000000"/>
              </w:rPr>
            </w:r>
          </w:p>
          <w:p>
            <w:pPr>
              <w:pStyle w:val="Heading3"/>
              <w:ind w:hanging="0" w:start="0"/>
              <w:rPr/>
            </w:pPr>
            <w:r>
              <w:rPr/>
              <w:t>Project</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b/>
                <w:color w:val="000000"/>
              </w:rPr>
            </w:pPr>
            <w:r>
              <w:rPr>
                <w:b/>
                <w:color w:val="000000"/>
              </w:rPr>
            </w:r>
          </w:p>
          <w:p>
            <w:pPr>
              <w:pStyle w:val="Normal"/>
              <w:jc w:val="center"/>
              <w:rPr>
                <w:b/>
                <w:color w:val="000000"/>
              </w:rPr>
            </w:pPr>
            <w:r>
              <w:rPr>
                <w:b/>
                <w:color w:val="000000"/>
              </w:rPr>
              <w:t>Attorney</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color w:val="000000"/>
              </w:rPr>
            </w:pPr>
            <w:r>
              <w:rPr>
                <w:b/>
                <w:color w:val="000000"/>
              </w:rPr>
              <w:t>Outside</w:t>
            </w:r>
          </w:p>
          <w:p>
            <w:pPr>
              <w:pStyle w:val="Normal"/>
              <w:jc w:val="center"/>
              <w:rPr>
                <w:b/>
                <w:color w:val="000000"/>
              </w:rPr>
            </w:pPr>
            <w:r>
              <w:rPr>
                <w:b/>
                <w:color w:val="000000"/>
              </w:rPr>
              <w:t>Attorney</w:t>
            </w:r>
          </w:p>
        </w:tc>
        <w:tc>
          <w:tcPr>
            <w:tcW w:w="1506" w:type="dxa"/>
            <w:tcBorders>
              <w:top w:val="single" w:sz="6" w:space="0" w:color="000000"/>
              <w:start w:val="single" w:sz="6" w:space="0" w:color="000000"/>
              <w:bottom w:val="single" w:sz="6" w:space="0" w:color="000000"/>
              <w:end w:val="single" w:sz="6" w:space="0" w:color="000000"/>
            </w:tcBorders>
            <w:shd w:fill="CCCCCC" w:val="clear"/>
          </w:tcPr>
          <w:p>
            <w:pPr>
              <w:pStyle w:val="Heading3"/>
              <w:ind w:hanging="0" w:start="0"/>
              <w:rPr/>
            </w:pPr>
            <w:r>
              <w:rPr/>
              <w:t>Developer/</w:t>
            </w:r>
          </w:p>
          <w:p>
            <w:pPr>
              <w:pStyle w:val="Normal"/>
              <w:jc w:val="center"/>
              <w:rPr>
                <w:b/>
                <w:color w:val="000000"/>
              </w:rPr>
            </w:pPr>
            <w:r>
              <w:rPr>
                <w:b/>
                <w:color w:val="000000"/>
              </w:rPr>
              <w:t>Originator</w:t>
            </w:r>
          </w:p>
        </w:tc>
        <w:tc>
          <w:tcPr>
            <w:tcW w:w="7538"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b/>
                <w:color w:val="000000"/>
              </w:rPr>
            </w:pPr>
            <w:r>
              <w:rPr>
                <w:b/>
                <w:color w:val="000000"/>
              </w:rPr>
            </w:r>
          </w:p>
          <w:p>
            <w:pPr>
              <w:pStyle w:val="Heading1"/>
              <w:ind w:hanging="0" w:start="0"/>
              <w:jc w:val="center"/>
              <w:rPr>
                <w:color w:val="000000"/>
              </w:rPr>
            </w:pPr>
            <w:r>
              <w:rPr>
                <w:color w:val="000000"/>
              </w:rPr>
              <w:t>Project Status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Central Puerto 10 year gas Termsheet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 Aguilar</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Gas Termsheet being prepared to be sent to cp for review. Termsheet being analyzed by Cp.</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Renault Gas Sale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Gas Termsheet sent to cp for review.  Negotiations on ED contract w/TGN to cover volumes being negotiated.  Major point of difference is the 16 hour flow provision and damages clause. ED contract with TGN effective as of 09/15. Cp reviewing final details of the gas sale offer. Renault filed for public hearing at the ENARGAS and invited us to attend as an interested third party. Enargas is trying to delay public hearing. Cp. accepted offer. Gas has been flowing since 09/17. ENARGAS will probably call for a private hearing. Guille, Andrea and Jose Martinez de Hoz preparing strategy. Distributor invoiced Renault full firm tariff despite no Contract is being in place.Cp newly requested ENARGAS to issue resolution. Distributor sent Carta Documento  to Renault</w:t>
            </w:r>
            <w:r>
              <w:rPr>
                <w:lang w:val="es-MX"/>
              </w:rPr>
              <w:t>´s claiming $ 3.048.870 in damages for terminating Contract. Enargas will call for a Public hearing. Apparently will resolve it in favor of Renault .Enargas has issued a resolution stating that as a preliminary measure prior to resolving the issue and public hearing, the Distributor must charge client ID tariff.  90-day stand/by period.</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Bolivian marketing, import and export of natural gas.</w:t>
            </w:r>
          </w:p>
          <w:p>
            <w:pPr>
              <w:pStyle w:val="Normal"/>
              <w:rPr/>
            </w:pPr>
            <w:r>
              <w:rPr/>
              <w:t>Crazy molecule and Cuiabá option gas.</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D. Black</w:t>
            </w:r>
          </w:p>
          <w:p>
            <w:pPr>
              <w:pStyle w:val="Normal"/>
              <w:rPr/>
            </w:pPr>
            <w:r>
              <w:rPr/>
              <w:t>F. Cerisoli</w:t>
            </w:r>
          </w:p>
          <w:p>
            <w:pPr>
              <w:pStyle w:val="Normal"/>
              <w:rPr/>
            </w:pPr>
            <w:r>
              <w:rPr/>
              <w:t>G. Aguilar</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Initial meetings were held on Wednesday 09/15 evening and Thursday 09/16 morning with Ramiro Guevara in Santa Cruz. Gas purchase termsheets sent to Cp. Andrea working on Crazy Molecule project on the Bolivian side. Andrea in Bolivia with Pete Weidler and Mike Smith to meet with Sirese and discuss final structure of the Project.  Broker agreements with Producers to be ready by Friday.</w:t>
            </w:r>
          </w:p>
          <w:p>
            <w:pPr>
              <w:pStyle w:val="Header"/>
              <w:tabs>
                <w:tab w:val="clear" w:pos="4320"/>
                <w:tab w:val="clear" w:pos="8640"/>
              </w:tabs>
              <w:rPr/>
            </w:pPr>
            <w:r>
              <w:rPr/>
              <w:t xml:space="preserve">Andrea working on final draft of Master Gas Purchase Agreement with Stephen Ellison and Brazilian Local counsel and coordinating terms of GTB IT contracts with Nasim Khan. </w:t>
            </w:r>
          </w:p>
          <w:p>
            <w:pPr>
              <w:pStyle w:val="Header"/>
              <w:tabs>
                <w:tab w:val="clear" w:pos="4320"/>
                <w:tab w:val="clear" w:pos="8640"/>
              </w:tabs>
              <w:rPr>
                <w:b/>
              </w:rPr>
            </w:pPr>
            <w:r>
              <w:rPr/>
              <w:t>Meetings to be coordinated with J. Novak regarding SCG branch in Bolivia for 25% option gas for Cuiabá. Outside Counsel working on 25% option gas contracts based on termsheets that were negotiated with Vintage. Master Gas Purchase Agreement has been sent to Cp for comments</w:t>
            </w:r>
            <w:r>
              <w:rPr>
                <w:b/>
              </w:rPr>
              <w:t xml:space="preserve">. </w:t>
            </w:r>
            <w:r>
              <w:rPr/>
              <w:t>Andrea preparing offer letter for interruptible compression and treatment of Gas at Río Grande Plant.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Vintage</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G.Aguilar</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t>Termsheet for gas purchase for the 25% option for Cuiabá. Sent to Cp. and was sent back with comments. Sent draft Confidiality Agreement to  Gaby to send to Vintage.</w:t>
            </w:r>
            <w:r>
              <w:rPr>
                <w:b/>
              </w:rPr>
              <w:t xml:space="preserve"> </w:t>
            </w:r>
            <w:r>
              <w:rPr/>
              <w:t>Dean Lefler prepared Contract. Andrea &amp; Brent making changes to it, pursuant to conversation with Lefler</w:t>
            </w:r>
            <w:r>
              <w:rPr>
                <w:b/>
              </w:rPr>
              <w:t xml:space="preserve">. </w:t>
            </w:r>
            <w:r>
              <w:rPr/>
              <w:t>Gaby to confirm payment terms and conditions precedent.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 xml:space="preserve">Power Purchase Agreement </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p>
            <w:pPr>
              <w:pStyle w:val="Normal"/>
              <w:rPr/>
            </w:pPr>
            <w:r>
              <w:rPr/>
              <w:t xml:space="preserve">B. Hendry </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J. Poole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Remaining obligations under Ferrum and ICI contracts. We will extend Marketing Agreements with generators (PC)</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Chaco</w:t>
            </w:r>
          </w:p>
          <w:p>
            <w:pPr>
              <w:pStyle w:val="Heading1"/>
              <w:ind w:hanging="0" w:start="0"/>
              <w:rPr/>
            </w:pPr>
            <w:r>
              <w:rPr/>
              <w:t>British Gas</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 Aguilar</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Termsheet for gas purchase for the 25% option for Cuiabá. Sent to Cp. and was sent back with comments</w:t>
            </w:r>
            <w:r>
              <w:rPr>
                <w:b/>
              </w:rPr>
              <w: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Return of S. Porters Apartment</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lang w:val="es-MX"/>
              </w:rPr>
            </w:pPr>
            <w:r>
              <w:rPr/>
              <w:t xml:space="preserve">Apartment returned. Public Notary involved. July payment still being discussed.  Andrea also trying to get deposits back for Bill Butler’s apartment.  Memo on legal fee proposal for collection sent to George Frumkin. Andrea met H. Leguisamon on Friday afternoon.  Andrea preparing Butler &amp; Porter´s lease documents to give to Leguisamón. Leguisamón analyzing retention of outside counsel agreement. Meeting with Leguisamón on 11/30. Judicial POA for him to represent us in court pending.. Meeting postponed until retention of Outside Counsel Agreement is executed and special power is underway. Sent Frumkin new draft of the Engagement letter for review. </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Lien on EPCA account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A.Calo</w:t>
            </w:r>
          </w:p>
          <w:p>
            <w:pPr>
              <w:pStyle w:val="Header"/>
              <w:tabs>
                <w:tab w:val="clear" w:pos="4320"/>
                <w:tab w:val="clear" w:pos="8640"/>
              </w:tabs>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M. Murray</w:t>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Two liens were filed against EPCA’s Citibank account, one for  $ 24.774,50 and the other $ 2.500 respectively, due to a supposedly inaccurate income tax payment. The $ 24.774,50 payment made by Enron was proved correct and the Plaintiff has informed M. Murray it will abandon legal action. M. Murray has not been able to see the file on the $ 2.500 lien since it was not available in court. Received court order granting EPCA 5 days to object. Objected on December 3</w:t>
            </w:r>
            <w:r>
              <w:rPr>
                <w:vertAlign w:val="superscript"/>
              </w:rPr>
              <w:t>rd.</w:t>
            </w:r>
            <w:r>
              <w:rPr/>
              <w:t xml:space="preserve"> .Javier Bosch to inform what was decided on court after the objection.</w:t>
            </w:r>
            <w:r>
              <w:rPr>
                <w:b/>
              </w:rPr>
              <w:t xml:space="preserve"> </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POA’s</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G.Frumkin</w:t>
            </w:r>
          </w:p>
          <w:p>
            <w:pPr>
              <w:pStyle w:val="Normal"/>
              <w:rPr/>
            </w:pPr>
            <w:r>
              <w:rPr/>
              <w:t>A.Calo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lang w:val="es-MX"/>
              </w:rPr>
            </w:pPr>
            <w:r>
              <w:rPr/>
              <w:t>Andrea coodinating Banking POA’s and intermediate range POA’s with George Frumkin</w:t>
            </w:r>
            <w:r>
              <w:rPr>
                <w:b/>
              </w:rPr>
              <w:t xml:space="preserve">. </w:t>
            </w:r>
            <w:r>
              <w:rPr/>
              <w:t>Have requested M.Murray to prepare Board of Director Minutes to grant General POA in favor of M. Guerriero and Steve Pearlman. Pending approval on intermediate POA. M. Guerriero to decide terms of Banking POA for commercial transactions.</w:t>
            </w:r>
            <w:r>
              <w:rPr>
                <w:b/>
              </w:rPr>
              <w:t xml:space="preserve"> </w:t>
            </w:r>
            <w:r>
              <w:rPr/>
              <w:t>Analyzing Board Of Directors Minutes granting POA´s</w:t>
            </w:r>
            <w:r>
              <w:rPr>
                <w:b/>
              </w:rPr>
              <w:t xml:space="preserve">. </w:t>
            </w:r>
            <w:r>
              <w:rPr/>
              <w:t>HD</w:t>
            </w:r>
            <w:r>
              <w:rPr>
                <w:lang w:val="es-MX"/>
              </w:rPr>
              <w:t>&amp;S preparing final versions of them.</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Standard Lease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G. Frumkin</w:t>
            </w:r>
          </w:p>
          <w:p>
            <w:pPr>
              <w:pStyle w:val="Normal"/>
              <w:rPr/>
            </w:pPr>
            <w:r>
              <w:rPr/>
              <w:t>E. Pavao</w:t>
            </w:r>
          </w:p>
          <w:p>
            <w:pPr>
              <w:pStyle w:val="Normal"/>
              <w:rPr/>
            </w:pPr>
            <w:r>
              <w:rPr/>
              <w:t>A.Calo</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M.Murray</w:t>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Edson to send Andrea standard lease agreement approved for Enron Brazil and will check with Hope, Duggan &amp;Silva if its terms are applicable in Argentina. Looking for a Portuguese – Spanish translator.</w:t>
            </w:r>
            <w:r>
              <w:rPr>
                <w:b/>
              </w:rPr>
              <w:t xml:space="preserve"> </w:t>
            </w:r>
            <w:r>
              <w:rPr/>
              <w:t>Found translator</w:t>
            </w:r>
            <w:r>
              <w:rPr>
                <w:b/>
              </w:rPr>
              <w: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Vitra Gas Sale Offer</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A.Calo</w:t>
            </w:r>
          </w:p>
          <w:p>
            <w:pPr>
              <w:pStyle w:val="Header"/>
              <w:tabs>
                <w:tab w:val="clear" w:pos="4320"/>
                <w:tab w:val="clear" w:pos="8640"/>
              </w:tabs>
              <w:rPr/>
            </w:pPr>
            <w:r>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Heading1"/>
              <w:ind w:hanging="0" w:start="0"/>
              <w:rPr>
                <w:b w:val="false"/>
              </w:rPr>
            </w:pPr>
            <w:r>
              <w:rPr>
                <w:b w:val="false"/>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t>Draft being prepared to send to Cp. In this case our model Offer will be sent to Enron by Vintar to avoid being used by Cp. to get a lower price (by not being able to show an Enron Offer to the LDC). Analyzing how to trigger acceptance. Offer sent to Cp for review..</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Energía de la Patagonia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G. Frumkin</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7538" w:type="dxa"/>
            <w:tcBorders>
              <w:top w:val="single" w:sz="6" w:space="0" w:color="000000"/>
              <w:start w:val="single" w:sz="6" w:space="0" w:color="000000"/>
              <w:bottom w:val="single" w:sz="6" w:space="0" w:color="000000"/>
              <w:end w:val="single" w:sz="6" w:space="0" w:color="000000"/>
            </w:tcBorders>
          </w:tcPr>
          <w:p>
            <w:pPr>
              <w:pStyle w:val="Header"/>
              <w:rPr/>
            </w:pPr>
            <w:r>
              <w:rPr/>
              <w:t>Energía de la Patagonia is a joint venture between Camuzzi and Enron.</w:t>
            </w:r>
          </w:p>
          <w:p>
            <w:pPr>
              <w:pStyle w:val="Header"/>
              <w:tabs>
                <w:tab w:val="clear" w:pos="4320"/>
                <w:tab w:val="clear" w:pos="8640"/>
              </w:tabs>
              <w:rPr>
                <w:b/>
              </w:rPr>
            </w:pPr>
            <w:r>
              <w:rPr/>
              <w:t>set up in 1995 to participate in a bid. This company has never been active and Camuzzi has called requesting liquidation. We are trying to get further information in order to decide whether to wind up</w:t>
            </w:r>
            <w:r>
              <w:rPr>
                <w:b/>
              </w:rPr>
              <w:t xml:space="preserve">. </w:t>
            </w:r>
            <w:r>
              <w:rPr/>
              <w:t>Pending resolution on Enron side.</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Broker Agreements</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Jose Martinez de Hoz</w:t>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D. Black</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We are working on drafting a Broker agreement form for both the Buyer and Seller.  Agent will agree to extensive performance obligations to both Buyer and Seller.</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Y2K Project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D. Black</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lang w:val="es-MX"/>
              </w:rPr>
            </w:pPr>
            <w:r>
              <w:rPr/>
              <w:t>Trying to coordinate with Julie Ramos and Mitch Robinson on the BA office Y2K plan.  First meeting is scheduled for Friday to discuss mission critical issues controlled by third parties.  AA sent a questionnaire on the Y2K issue which Julie Ramos indicates we have already completed for them. Molinos sent a questionnaire on the Y2K issue which was responded by Mitch Robinson. Preparing legal review of Contracts that will be in place Jan. 1</w:t>
            </w:r>
            <w:r>
              <w:rPr>
                <w:vertAlign w:val="superscript"/>
              </w:rPr>
              <w:t>st</w:t>
            </w:r>
            <w:r>
              <w:rPr/>
              <w:t xml:space="preserve">. Brent preparing response to Aeropuerto 2000´s request that we inform them of the steps we have taken to  guarantee the supply, quality, frequency and tension of the power supplied under our contract for December 31, 1999 and January 1, 2000. Aeropuertos 2000´s response already prepared explaining than Enron is not responsible for physical operations in the WEM. Mike Guerriero instructed personal delivery of note and joint meetings with CAMMESA. Andrea </w:t>
            </w:r>
            <w:r>
              <w:rPr>
                <w:lang w:val="es-MX"/>
              </w:rPr>
              <w:t>&amp; Julián to meet with Aeropuertos Argentina 2000 Officers on 07/12/99. They met on Dec. 12</w:t>
            </w:r>
            <w:r>
              <w:rPr>
                <w:vertAlign w:val="superscript"/>
                <w:lang w:val="es-MX"/>
              </w:rPr>
              <w:t>th</w:t>
            </w:r>
            <w:r>
              <w:rPr>
                <w:lang w:val="es-MX"/>
              </w:rPr>
              <w:t xml:space="preserve"> . On 20/12/99 received a response Y2K letter from Alto Valle. Filo Morado has indicated they will respond  this week in writing, they are testing stage now.</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Ban and Metro</w:t>
            </w:r>
            <w:r>
              <w:rPr>
                <w:b/>
              </w:rPr>
              <w:t xml:space="preserve"> </w:t>
            </w:r>
            <w:r>
              <w:rPr/>
              <w:t>Distribution Contract Request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D. Black</w:t>
            </w:r>
          </w:p>
          <w:p>
            <w:pPr>
              <w:pStyle w:val="Normal"/>
              <w:rPr/>
            </w:pPr>
            <w:r>
              <w:rPr/>
              <w:t>G. Canovas</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We requested a distribution contract which was denied.  Andrea to review issues that could be raised if we requested a public hearing (to be discussed with regulatory affairs and commercial team.)  Mike Smith to be included in any decisions or discussions relating to this issue. Conference call on 8/30/99 with Mike, Brent and Guillermo to discuss open access in Argentina. Analyzing possibility of requesting a public hearing in order to obtain ID Contracts</w:t>
            </w:r>
            <w:r>
              <w:rPr>
                <w:b/>
              </w:rPr>
              <w: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Bagley Gas Sale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F. Cerisoli</w:t>
            </w:r>
          </w:p>
          <w:p>
            <w:pPr>
              <w:pStyle w:val="Normal"/>
              <w:rPr/>
            </w:pPr>
            <w:r>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ENARGAS is supposed to have come down in favor of Bagley, we are awaiting confirmation.   Pursuant to informal information received by Guillermo Canovas ENARGAS will issue a resolution in favor of endusers by ordering LDCs to remove reserve charges for interruptible distribution and charge only for distribution. Deal closed. We are currently serving Bagley, even though it does not yet have distribution agreement with Metro. ENARGAS is not taking steps to timely resolve this issue.  Commercial group is looking for ways to push the process forward. Modification to the original 60 day term specified in the addenda was sent to Cp for execution. Bagley has informed that they are  seriously considering requesting a public hearing  due to Enargas delay in issuing resolution. We are trying to schedule a meeting on 09/22 with José M. De Hoz and Bagley’s Marval O’Farrell attorneys to discuss strategy for public hearing. Meeting was held on 09/22 at Marval O’Farrell. Bagley’s attorneys concluded they would request a private meeting with Enargas Directors to demand an explanation for Enargas’ delay in issuing a resolution. Bagley will wait and see the results of before analyzing whether or not to request a public hearing. </w:t>
            </w:r>
            <w:r>
              <w:rPr>
                <w:lang w:val="es-MX"/>
              </w:rPr>
              <w:t>Enargas will call for a Public hearing. Apparently will resolve it in favor of Renault .Enargas has issued a resolution stating that as a preliminary measure prior to resolving the issue and public hearing, the Distributor must charge client ID tariff.  90-day stand/by period.</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Preparation of Contract Templates for Power Purchases and Sales (in Brazil)</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A. Bertone</w:t>
            </w:r>
          </w:p>
          <w:p>
            <w:pPr>
              <w:pStyle w:val="Header"/>
              <w:tabs>
                <w:tab w:val="clear" w:pos="4320"/>
                <w:tab w:val="clear" w:pos="8640"/>
              </w:tabs>
              <w:rPr/>
            </w:pPr>
            <w:r>
              <w:rPr/>
              <w:t>S. Shackelton</w:t>
            </w:r>
          </w:p>
          <w:p>
            <w:pPr>
              <w:pStyle w:val="Header"/>
              <w:tabs>
                <w:tab w:val="clear" w:pos="4320"/>
                <w:tab w:val="clear" w:pos="8640"/>
              </w:tabs>
              <w:rPr/>
            </w:pPr>
            <w:r>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D. Black</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ECT templates being sent to the Tozzini firm for their review and revision based upon local requirements and law.</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ICI power purchase agreement</w:t>
            </w:r>
          </w:p>
          <w:p>
            <w:pPr>
              <w:pStyle w:val="Header"/>
              <w:tabs>
                <w:tab w:val="clear" w:pos="4320"/>
                <w:tab w:val="clear" w:pos="8640"/>
              </w:tabs>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B. Hendry</w:t>
            </w:r>
          </w:p>
          <w:p>
            <w:pPr>
              <w:pStyle w:val="Header"/>
              <w:tabs>
                <w:tab w:val="clear" w:pos="4320"/>
                <w:tab w:val="clear" w:pos="8640"/>
              </w:tabs>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Draft sent to cp for review.  Cp has accepted terms and is waiting for draft of offer. </w:t>
            </w:r>
          </w:p>
          <w:p>
            <w:pPr>
              <w:pStyle w:val="Header"/>
              <w:tabs>
                <w:tab w:val="clear" w:pos="4320"/>
                <w:tab w:val="clear" w:pos="8640"/>
              </w:tabs>
              <w:rPr/>
            </w:pPr>
            <w:r>
              <w:rPr/>
              <w:t>ICI requested 6 months offer with condition precedent to obtain written approval from CAMMESA or possibility to extend for an additional 6 months under demand marketing structure if the SE  issues resolution approving 50% load Curve back up from Marketers. Power offer was sent to Cp. Filing was made at CAMMESA on Nov. 1. SE signed the resolution for new Power Regulations which is still pending publication in the Official Bulletin</w:t>
            </w:r>
            <w:r>
              <w:rPr>
                <w:b/>
              </w:rPr>
              <w:t xml:space="preserve">. </w:t>
            </w:r>
            <w:r>
              <w:rPr/>
              <w:t>Power resolution enabling marketers to purchase at least 50% of the Buyers load curve was published  in the Boletín Oficial on November 11</w:t>
            </w:r>
            <w:r>
              <w:rPr>
                <w:vertAlign w:val="superscript"/>
              </w:rPr>
              <w:t>th</w:t>
            </w:r>
            <w:r>
              <w:rPr/>
              <w:t xml:space="preserve"> </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Ferrum Power Purchase Agreement</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B. Hendry</w:t>
            </w:r>
          </w:p>
          <w:p>
            <w:pPr>
              <w:pStyle w:val="Header"/>
              <w:tabs>
                <w:tab w:val="clear" w:pos="4320"/>
                <w:tab w:val="clear" w:pos="8640"/>
              </w:tabs>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 Aguilar</w:t>
            </w:r>
          </w:p>
          <w:p>
            <w:pPr>
              <w:pStyle w:val="Normal"/>
              <w:rPr/>
            </w:pPr>
            <w:r>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Offer sent to cp.  Received notice from CAMESSA denying administration of the contract because of dispute with Energy Secretary over interpretation of Demanding Marketing volumes.</w:t>
            </w:r>
            <w:r>
              <w:rPr>
                <w:b/>
              </w:rPr>
              <w:t xml:space="preserve">  </w:t>
            </w:r>
            <w:r>
              <w:rPr/>
              <w:t>Negotiations are ongoing on getting a resolution from the Energy Secretary to allow for Marketers to only have to contract 50% of a load curve of a Buyer.</w:t>
            </w:r>
            <w:r>
              <w:rPr>
                <w:b/>
              </w:rPr>
              <w:t xml:space="preserve"> </w:t>
            </w:r>
            <w:r>
              <w:rPr/>
              <w:t>CAMMESA has given approval now, Enron to find a PPA for the final three months.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IMASA Power Bypass</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A. Bertone</w:t>
            </w:r>
          </w:p>
          <w:p>
            <w:pPr>
              <w:pStyle w:val="Header"/>
              <w:tabs>
                <w:tab w:val="clear" w:pos="4320"/>
                <w:tab w:val="clear" w:pos="8640"/>
              </w:tabs>
              <w:rPr/>
            </w:pPr>
            <w:r>
              <w:rPr/>
              <w:t>B. Hendry</w:t>
            </w:r>
          </w:p>
          <w:p>
            <w:pPr>
              <w:pStyle w:val="Header"/>
              <w:tabs>
                <w:tab w:val="clear" w:pos="4320"/>
                <w:tab w:val="clear" w:pos="8640"/>
              </w:tabs>
              <w:rPr/>
            </w:pPr>
            <w:r>
              <w:rPr/>
              <w:t>A.Calo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J.Shoobridge</w:t>
            </w:r>
          </w:p>
          <w:p>
            <w:pPr>
              <w:pStyle w:val="Normal"/>
              <w:rPr/>
            </w:pPr>
            <w:r>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t>Andrea Bertone preparing confidentiality and Nonshopping Agreement</w:t>
            </w:r>
            <w:r>
              <w:rPr>
                <w:b/>
              </w:rPr>
              <w:t xml:space="preserve">. </w:t>
            </w:r>
            <w:r>
              <w:rPr/>
              <w:t>Confidiality Agreement sent to Cp. Original sent to Legal Department on Dec. 10</w:t>
            </w:r>
            <w:r>
              <w:rPr>
                <w:vertAlign w:val="superscript"/>
              </w:rPr>
              <w:t>th</w:t>
            </w:r>
            <w:r>
              <w:rPr/>
              <w:t xml:space="preserve"> .</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Swap Trader Guidelines</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B. Hendry </w:t>
            </w:r>
          </w:p>
          <w:p>
            <w:pPr>
              <w:pStyle w:val="Header"/>
              <w:tabs>
                <w:tab w:val="clear" w:pos="4320"/>
                <w:tab w:val="clear" w:pos="8640"/>
              </w:tabs>
              <w:rPr/>
            </w:pPr>
            <w:r>
              <w:rPr/>
              <w:t>S. Shackleton</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D. Black</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Preparing trader guidelines with input from tax Dept. for entering into swaps transactions</w:t>
            </w:r>
          </w:p>
        </w:tc>
      </w:tr>
    </w:tbl>
    <w:p>
      <w:pPr>
        <w:pStyle w:val="Header"/>
        <w:tabs>
          <w:tab w:val="clear" w:pos="4320"/>
          <w:tab w:val="clear" w:pos="8640"/>
        </w:tabs>
        <w:rPr/>
      </w:pPr>
      <w:r>
        <w:br w:type="page"/>
      </w:r>
      <w:r>
        <w:rPr/>
      </w:r>
    </w:p>
    <w:tbl>
      <w:tblPr>
        <w:tblW w:w="13175" w:type="dxa"/>
        <w:jc w:val="start"/>
        <w:tblInd w:w="0" w:type="dxa"/>
        <w:tblLayout w:type="fixed"/>
        <w:tblCellMar>
          <w:top w:w="0" w:type="dxa"/>
          <w:start w:w="108" w:type="dxa"/>
          <w:bottom w:w="0" w:type="dxa"/>
          <w:end w:w="108" w:type="dxa"/>
        </w:tblCellMar>
      </w:tblPr>
      <w:tblGrid>
        <w:gridCol w:w="828"/>
        <w:gridCol w:w="549"/>
        <w:gridCol w:w="7"/>
        <w:gridCol w:w="1370"/>
        <w:gridCol w:w="1377"/>
        <w:gridCol w:w="1377"/>
        <w:gridCol w:w="5220"/>
        <w:gridCol w:w="2447"/>
      </w:tblGrid>
      <w:tr>
        <w:trPr/>
        <w:tc>
          <w:tcPr>
            <w:tcW w:w="828" w:type="dxa"/>
            <w:tcBorders/>
          </w:tcPr>
          <w:p>
            <w:pPr>
              <w:pStyle w:val="Normal"/>
              <w:rPr/>
            </w:pPr>
            <w:r>
              <w:rPr/>
              <w:object w:dxaOrig="4635" w:dyaOrig="4605">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0.1pt;height:29.9pt" filled="f" o:ole="">
                  <v:imagedata r:id="rId5" o:title=""/>
                </v:shape>
                <o:OLEObject Type="Embed" ProgID="" ShapeID="ole_rId4" DrawAspect="Content" ObjectID="_1776226273" r:id="rId4"/>
              </w:object>
            </w:r>
          </w:p>
        </w:tc>
        <w:tc>
          <w:tcPr>
            <w:tcW w:w="12347" w:type="dxa"/>
            <w:gridSpan w:val="7"/>
            <w:tcBorders/>
          </w:tcPr>
          <w:p>
            <w:pPr>
              <w:pStyle w:val="Normal"/>
              <w:jc w:val="center"/>
              <w:rPr>
                <w:rFonts w:ascii="Antique Olive" w:hAnsi="Antique Olive" w:cs="Antique Olive"/>
                <w:sz w:val="32"/>
              </w:rPr>
            </w:pPr>
            <w:r>
              <w:rPr>
                <w:rFonts w:cs="Antique Olive" w:ascii="Antique Olive" w:hAnsi="Antique Olive"/>
                <w:sz w:val="32"/>
              </w:rPr>
              <w:t>ENRON INTERNATIONAL SOUTHERN CONE</w:t>
            </w:r>
          </w:p>
        </w:tc>
      </w:tr>
      <w:tr>
        <w:trPr/>
        <w:tc>
          <w:tcPr>
            <w:tcW w:w="13175" w:type="dxa"/>
            <w:gridSpan w:val="8"/>
            <w:tcBorders/>
            <w:shd w:fill="FFFFFF" w:val="clear"/>
          </w:tcPr>
          <w:p>
            <w:pPr>
              <w:pStyle w:val="Heading2"/>
              <w:ind w:hanging="0" w:start="0"/>
              <w:rPr/>
            </w:pPr>
            <w:r>
              <w:rPr/>
              <w:t>CLAIMS/LITIGATION/REGULATORY</w:t>
            </w:r>
          </w:p>
        </w:tc>
      </w:tr>
      <w:tr>
        <w:trPr/>
        <w:tc>
          <w:tcPr>
            <w:tcW w:w="13175" w:type="dxa"/>
            <w:gridSpan w:val="8"/>
            <w:tcBorders/>
            <w:shd w:fill="FFFFFF" w:val="clear"/>
          </w:tcPr>
          <w:p>
            <w:pPr>
              <w:pStyle w:val="Normal"/>
              <w:jc w:val="center"/>
              <w:rPr>
                <w:b/>
                <w:color w:val="000000"/>
              </w:rPr>
            </w:pPr>
            <w:r>
              <w:rPr>
                <w:b/>
                <w:color w:val="000000"/>
              </w:rPr>
              <w:t>BA Trading</w:t>
            </w:r>
          </w:p>
        </w:tc>
      </w:tr>
      <w:tr>
        <w:trPr/>
        <w:tc>
          <w:tcPr>
            <w:tcW w:w="13175" w:type="dxa"/>
            <w:gridSpan w:val="8"/>
            <w:tcBorders/>
            <w:shd w:fill="FFFFFF" w:val="clear"/>
          </w:tcPr>
          <w:p>
            <w:pPr>
              <w:pStyle w:val="Normal"/>
              <w:jc w:val="center"/>
              <w:rPr>
                <w:color w:val="000000"/>
              </w:rPr>
            </w:pPr>
            <w:r>
              <w:rPr>
                <w:color w:val="000000"/>
              </w:rPr>
              <w:t xml:space="preserve">As of September 28, 1999 </w:t>
            </w:r>
          </w:p>
        </w:tc>
      </w:tr>
      <w:tr>
        <w:trPr/>
        <w:tc>
          <w:tcPr>
            <w:tcW w:w="13175" w:type="dxa"/>
            <w:gridSpan w:val="8"/>
            <w:tcBorders/>
            <w:shd w:fill="FFFFFF" w:val="clear"/>
          </w:tcPr>
          <w:p>
            <w:pPr>
              <w:pStyle w:val="Normal"/>
              <w:snapToGrid w:val="false"/>
              <w:rPr>
                <w:color w:val="000000"/>
              </w:rPr>
            </w:pPr>
            <w:r>
              <w:rPr>
                <w:color w:val="000000"/>
              </w:rPr>
            </w:r>
          </w:p>
        </w:tc>
      </w:tr>
      <w:tr>
        <w:trPr/>
        <w:tc>
          <w:tcPr>
            <w:tcW w:w="1377" w:type="dxa"/>
            <w:gridSpan w:val="2"/>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color w:val="000000"/>
              </w:rPr>
            </w:pPr>
            <w:r>
              <w:rPr>
                <w:color w:val="000000"/>
              </w:rPr>
            </w:r>
          </w:p>
          <w:p>
            <w:pPr>
              <w:pStyle w:val="Normal"/>
              <w:jc w:val="center"/>
              <w:rPr>
                <w:color w:val="000000"/>
              </w:rPr>
            </w:pPr>
            <w:r>
              <w:rPr>
                <w:color w:val="000000"/>
              </w:rPr>
              <w:t>Case</w:t>
            </w:r>
          </w:p>
        </w:tc>
        <w:tc>
          <w:tcPr>
            <w:tcW w:w="1377" w:type="dxa"/>
            <w:gridSpan w:val="2"/>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color w:val="000000"/>
              </w:rPr>
            </w:pPr>
            <w:r>
              <w:rPr>
                <w:color w:val="000000"/>
              </w:rPr>
            </w:r>
          </w:p>
          <w:p>
            <w:pPr>
              <w:pStyle w:val="Normal"/>
              <w:jc w:val="center"/>
              <w:rPr>
                <w:color w:val="000000"/>
              </w:rPr>
            </w:pPr>
            <w:r>
              <w:rPr>
                <w:color w:val="000000"/>
              </w:rPr>
              <w:t>Companies</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color w:val="000000"/>
              </w:rPr>
            </w:pPr>
            <w:r>
              <w:rPr>
                <w:color w:val="000000"/>
              </w:rPr>
            </w:r>
          </w:p>
          <w:p>
            <w:pPr>
              <w:pStyle w:val="Normal"/>
              <w:jc w:val="center"/>
              <w:rPr>
                <w:color w:val="000000"/>
              </w:rPr>
            </w:pPr>
            <w:r>
              <w:rPr>
                <w:color w:val="000000"/>
              </w:rPr>
              <w:t>Attorney</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color w:val="000000"/>
              </w:rPr>
            </w:pPr>
            <w:r>
              <w:rPr>
                <w:color w:val="000000"/>
              </w:rPr>
              <w:t>Outside</w:t>
            </w:r>
          </w:p>
          <w:p>
            <w:pPr>
              <w:pStyle w:val="Normal"/>
              <w:jc w:val="center"/>
              <w:rPr>
                <w:color w:val="000000"/>
              </w:rPr>
            </w:pPr>
            <w:r>
              <w:rPr>
                <w:color w:val="000000"/>
              </w:rPr>
              <w:t>Attorney</w:t>
            </w:r>
          </w:p>
        </w:tc>
        <w:tc>
          <w:tcPr>
            <w:tcW w:w="5220" w:type="dxa"/>
            <w:tcBorders>
              <w:top w:val="single" w:sz="6" w:space="0" w:color="000000"/>
              <w:start w:val="single" w:sz="6" w:space="0" w:color="000000"/>
              <w:end w:val="single" w:sz="6" w:space="0" w:color="000000"/>
            </w:tcBorders>
            <w:shd w:fill="CCCCCC" w:val="clear"/>
          </w:tcPr>
          <w:p>
            <w:pPr>
              <w:pStyle w:val="Heading1"/>
              <w:snapToGrid w:val="false"/>
              <w:ind w:hanging="0" w:start="0"/>
              <w:jc w:val="center"/>
              <w:rPr>
                <w:b w:val="false"/>
                <w:color w:val="000000"/>
              </w:rPr>
            </w:pPr>
            <w:r>
              <w:rPr>
                <w:b w:val="false"/>
                <w:color w:val="000000"/>
              </w:rPr>
            </w:r>
          </w:p>
          <w:p>
            <w:pPr>
              <w:pStyle w:val="Heading1"/>
              <w:ind w:hanging="0" w:start="0"/>
              <w:jc w:val="center"/>
              <w:rPr>
                <w:b w:val="false"/>
              </w:rPr>
            </w:pPr>
            <w:r>
              <w:rPr>
                <w:b w:val="false"/>
              </w:rPr>
              <w:t>Description</w:t>
            </w:r>
          </w:p>
        </w:tc>
        <w:tc>
          <w:tcPr>
            <w:tcW w:w="2447" w:type="dxa"/>
            <w:tcBorders>
              <w:top w:val="single" w:sz="6" w:space="0" w:color="000000"/>
              <w:start w:val="single" w:sz="6" w:space="0" w:color="000000"/>
              <w:end w:val="single" w:sz="6" w:space="0" w:color="000000"/>
            </w:tcBorders>
            <w:shd w:fill="CCCCCC" w:val="clear"/>
          </w:tcPr>
          <w:p>
            <w:pPr>
              <w:pStyle w:val="Heading1"/>
              <w:snapToGrid w:val="false"/>
              <w:ind w:hanging="0" w:start="0"/>
              <w:jc w:val="center"/>
              <w:rPr>
                <w:b w:val="false"/>
              </w:rPr>
            </w:pPr>
            <w:r>
              <w:rPr>
                <w:b w:val="false"/>
              </w:rPr>
            </w:r>
          </w:p>
          <w:p>
            <w:pPr>
              <w:pStyle w:val="Heading1"/>
              <w:ind w:hanging="0" w:start="0"/>
              <w:jc w:val="center"/>
              <w:rPr>
                <w:b w:val="false"/>
              </w:rPr>
            </w:pPr>
            <w:r>
              <w:rPr>
                <w:b w:val="false"/>
              </w:rPr>
              <w:t>Status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Response to ENARGAS order to unbundle</w:t>
            </w:r>
          </w:p>
        </w:tc>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Enron International Argentina S.A.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 xml:space="preserve">J. Wilson </w:t>
            </w:r>
          </w:p>
          <w:p>
            <w:pPr>
              <w:pStyle w:val="Normal"/>
              <w:rPr/>
            </w:pPr>
            <w:r>
              <w:rPr/>
              <w:t>M. Smith</w:t>
            </w:r>
          </w:p>
          <w:p>
            <w:pPr>
              <w:pStyle w:val="Normal"/>
              <w:rPr/>
            </w:pPr>
            <w:r>
              <w:rPr/>
              <w:t>R. Pensotti</w:t>
            </w:r>
          </w:p>
          <w:p>
            <w:pPr>
              <w:pStyle w:val="Normal"/>
              <w:rPr/>
            </w:pPr>
            <w:r>
              <w:rPr/>
              <w:t>G. Canovas</w:t>
            </w:r>
          </w:p>
          <w:p>
            <w:pPr>
              <w:pStyle w:val="Normal"/>
              <w:rPr/>
            </w:pPr>
            <w:r>
              <w:rPr/>
              <w:t xml:space="preserve">A. Calo </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Nestor Martinez (Consultant)</w:t>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Normal"/>
              <w:rPr/>
            </w:pPr>
            <w:r>
              <w:rPr/>
              <w:t>ENARGAS ordered Enron to describe its contacts as Interruptible and unbundle the prices.</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 xml:space="preserve">Responded to Order. Jane and Bob Williams are looking into BIT issues. We have filed amendments to the contracts with Buyatti, Vandenfil and Molinos.  </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Neuquen Tax Assessment</w:t>
            </w:r>
          </w:p>
        </w:tc>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TGS and Enron Pipeline Company Argentina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Williams</w:t>
            </w:r>
          </w:p>
          <w:p>
            <w:pPr>
              <w:pStyle w:val="Normal"/>
              <w:rPr/>
            </w:pPr>
            <w:r>
              <w:rPr/>
              <w:t>R. George</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Outside Consultant used by TGS</w:t>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Normal"/>
              <w:rPr/>
            </w:pPr>
            <w:r>
              <w:rPr/>
              <w:t>Province of Neuquen has levied a stamp tax on the Technical Services Agreement between TGS and EPCA.</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Enron and TGS have filed a response to the assessment.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TGN Tax Assessment Notices</w:t>
            </w:r>
          </w:p>
        </w:tc>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TGN and all its counterparts</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p>
            <w:pPr>
              <w:pStyle w:val="Normal"/>
              <w:rPr/>
            </w:pPr>
            <w:r>
              <w:rPr/>
              <w:t>B. Rosen</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TGN has been approached by several Provinces claiming stamp taxes on its transportation contracts.  No counterpart (including Enron) has been served on these contracts.  However, TGN has provided notice to its counterparts because if found liable it will seek to split the liability.</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TGN is currently fighting the assessments.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Santa Cruz Tax Verification Notice</w:t>
            </w:r>
          </w:p>
        </w:tc>
        <w:tc>
          <w:tcPr>
            <w:tcW w:w="1377"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p>
            <w:pPr>
              <w:pStyle w:val="Normal"/>
              <w:rPr/>
            </w:pPr>
            <w:r>
              <w:rPr/>
              <w:t>N. Muchmore</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Normal"/>
              <w:rPr/>
            </w:pPr>
            <w:r>
              <w:rPr/>
              <w:t>We’ve received a request for documentation. Tax people are working with Nancy Muchmore to determine an accurate response.</w:t>
            </w:r>
            <w:r>
              <w:rPr>
                <w:b/>
              </w:rPr>
              <w:t xml:space="preserve"> </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Audit took place.</w:t>
            </w:r>
          </w:p>
        </w:tc>
      </w:tr>
      <w:tr>
        <w:trPr/>
        <w:tc>
          <w:tcPr>
            <w:tcW w:w="1384" w:type="dxa"/>
            <w:gridSpan w:val="3"/>
            <w:tcBorders>
              <w:top w:val="single" w:sz="6" w:space="0" w:color="000000"/>
              <w:start w:val="single" w:sz="6" w:space="0" w:color="000000"/>
              <w:bottom w:val="single" w:sz="6" w:space="0" w:color="000000"/>
              <w:end w:val="single" w:sz="6" w:space="0" w:color="000000"/>
            </w:tcBorders>
          </w:tcPr>
          <w:p>
            <w:pPr>
              <w:pStyle w:val="Normal"/>
              <w:rPr/>
            </w:pPr>
            <w:r>
              <w:rPr/>
              <w:t>Contractual claim by Piedra Buena for penalty for reprogramming</w:t>
            </w:r>
          </w:p>
        </w:tc>
        <w:tc>
          <w:tcPr>
            <w:tcW w:w="1370" w:type="dxa"/>
            <w:tcBorders>
              <w:top w:val="single" w:sz="6" w:space="0" w:color="000000"/>
              <w:start w:val="single" w:sz="6" w:space="0" w:color="000000"/>
              <w:bottom w:val="single" w:sz="6" w:space="0" w:color="000000"/>
              <w:end w:val="single" w:sz="6" w:space="0" w:color="000000"/>
            </w:tcBorders>
          </w:tcPr>
          <w:p>
            <w:pPr>
              <w:pStyle w:val="Normal"/>
              <w:rPr/>
            </w:pPr>
            <w:r>
              <w:rPr/>
              <w:t>Enron International Argentina S.A.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p>
            <w:pPr>
              <w:pStyle w:val="Normal"/>
              <w:rPr/>
            </w:pPr>
            <w:r>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Jose Martinez de Hoz</w:t>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b/>
              </w:rPr>
            </w:pPr>
            <w:r>
              <w:rPr/>
              <w:t>Our producers reprogrammed gas volumes during the operating day and we then reprogrammed the volumes to Piedra Buena.  The contract provides for penalties if we reprogram during the operating day.  Claimed damages are slightly more than $300,000.  There appears to have been some miscalculations on the original demands that would reduce the amounts claimed for the May and June reprogrammings.  There is now another claim for an additional $72,800 for an additional two days of reprograming.</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 xml:space="preserve">CPB claims 89.360,99 due to amounts reduced on 05/19. </w:t>
            </w:r>
            <w:r>
              <w:rPr>
                <w:b/>
              </w:rPr>
              <w:t>On December sent a letter format to Gaby to send to Piedra Buena explaining why their calculations on damages was incorrect.</w:t>
            </w:r>
          </w:p>
        </w:tc>
      </w:tr>
      <w:tr>
        <w:trPr/>
        <w:tc>
          <w:tcPr>
            <w:tcW w:w="1384" w:type="dxa"/>
            <w:gridSpan w:val="3"/>
            <w:tcBorders>
              <w:top w:val="single" w:sz="6" w:space="0" w:color="000000"/>
              <w:start w:val="single" w:sz="6" w:space="0" w:color="000000"/>
              <w:bottom w:val="single" w:sz="6" w:space="0" w:color="000000"/>
              <w:end w:val="single" w:sz="6" w:space="0" w:color="000000"/>
            </w:tcBorders>
          </w:tcPr>
          <w:p>
            <w:pPr>
              <w:pStyle w:val="Normal"/>
              <w:rPr/>
            </w:pPr>
            <w:r>
              <w:rPr/>
              <w:t>New Power Regs.</w:t>
            </w:r>
          </w:p>
        </w:tc>
        <w:tc>
          <w:tcPr>
            <w:tcW w:w="1370"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snapToGrid w:val="false"/>
              <w:rPr>
                <w:b/>
              </w:rPr>
            </w:pPr>
            <w:r>
              <w:rPr>
                <w:b/>
              </w:rPr>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Analyzing new power regs.</w:t>
            </w:r>
          </w:p>
        </w:tc>
      </w:tr>
    </w:tbl>
    <w:p>
      <w:pPr>
        <w:pStyle w:val="Normal"/>
        <w:rPr>
          <w:b/>
        </w:rPr>
      </w:pPr>
      <w:r>
        <w:rPr>
          <w:b/>
        </w:rPr>
      </w:r>
    </w:p>
    <w:sectPr>
      <w:footerReference w:type="default" r:id="rId6"/>
      <w:type w:val="nextPage"/>
      <w:pgSz w:orient="landscape" w:w="15840" w:h="122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ntique Olive">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3176" w:type="dxa"/>
      <w:jc w:val="start"/>
      <w:tblInd w:w="0" w:type="dxa"/>
      <w:tblLayout w:type="fixed"/>
      <w:tblCellMar>
        <w:top w:w="0" w:type="dxa"/>
        <w:start w:w="108" w:type="dxa"/>
        <w:bottom w:w="0" w:type="dxa"/>
        <w:end w:w="108" w:type="dxa"/>
      </w:tblCellMar>
    </w:tblPr>
    <w:tblGrid>
      <w:gridCol w:w="6588"/>
      <w:gridCol w:w="6588"/>
    </w:tblGrid>
    <w:tr>
      <w:trPr/>
      <w:tc>
        <w:tcPr>
          <w:tcW w:w="6588" w:type="dxa"/>
          <w:tcBorders/>
        </w:tcPr>
        <w:p>
          <w:pPr>
            <w:pStyle w:val="Footer"/>
            <w:rPr>
              <w:rStyle w:val="PageNumber"/>
            </w:rPr>
          </w:pPr>
          <w:r>
            <w:rPr>
              <w:i/>
            </w:rPr>
            <w:t xml:space="preserve">Page </w:t>
          </w:r>
          <w:r>
            <w:rPr>
              <w:rStyle w:val="PageNumber"/>
              <w:i/>
            </w:rPr>
            <w:fldChar w:fldCharType="begin"/>
          </w:r>
          <w:r>
            <w:rPr>
              <w:rStyle w:val="PageNumber"/>
              <w:i/>
            </w:rPr>
            <w:instrText xml:space="preserve"> PAGE </w:instrText>
          </w:r>
          <w:r>
            <w:rPr>
              <w:rStyle w:val="PageNumber"/>
              <w:i/>
            </w:rPr>
            <w:fldChar w:fldCharType="separate"/>
          </w:r>
          <w:r>
            <w:rPr>
              <w:rStyle w:val="PageNumber"/>
              <w:i/>
            </w:rPr>
            <w:t>6</w:t>
          </w:r>
          <w:r>
            <w:rPr>
              <w:rStyle w:val="PageNumber"/>
              <w:i/>
            </w:rPr>
            <w:fldChar w:fldCharType="end"/>
          </w:r>
          <w:r>
            <w:rPr>
              <w:rStyle w:val="PageNumber"/>
              <w:i/>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6</w:t>
          </w:r>
          <w:r>
            <w:rPr>
              <w:rStyle w:val="PageNumber"/>
            </w:rPr>
            <w:fldChar w:fldCharType="end"/>
          </w:r>
        </w:p>
        <w:p>
          <w:pPr>
            <w:pStyle w:val="Footer"/>
            <w:rPr>
              <w:rStyle w:val="PageNumber"/>
            </w:rPr>
          </w:pPr>
          <w:r>
            <w:rPr/>
          </w:r>
        </w:p>
        <w:p>
          <w:pPr>
            <w:pStyle w:val="Footer"/>
            <w:rPr>
              <w:i/>
              <w:i/>
              <w:sz w:val="12"/>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/mnt/main-storage/datasets/enron-docs/doc/BAProjects28.doc</w:t>
          </w:r>
          <w:r>
            <w:rPr>
              <w:rStyle w:val="PageNumber"/>
              <w:sz w:val="12"/>
              <w:lang w:eastAsia="en-US"/>
            </w:rPr>
            <w:fldChar w:fldCharType="end"/>
          </w:r>
        </w:p>
      </w:tc>
      <w:tc>
        <w:tcPr>
          <w:tcW w:w="6588" w:type="dxa"/>
          <w:tcBorders/>
        </w:tcPr>
        <w:p>
          <w:pPr>
            <w:pStyle w:val="Footer"/>
            <w:jc w:val="end"/>
            <w:rPr>
              <w:i/>
              <w:i/>
            </w:rPr>
          </w:pPr>
          <w:r>
            <w:rPr>
              <w:i/>
            </w:rPr>
            <w:t>CONFIDENTIAL &amp; PROPRIETARY  – ATTORNEY WORK PRODUCT</w:t>
          </w:r>
        </w:p>
      </w:tc>
    </w:tr>
  </w:tbl>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center"/>
      <w:outlineLvl w:val="1"/>
    </w:pPr>
    <w:rPr>
      <w:b/>
      <w:color w:val="000000"/>
      <w:sz w:val="28"/>
    </w:rPr>
  </w:style>
  <w:style w:type="paragraph" w:styleId="Heading3">
    <w:name w:val="heading 3"/>
    <w:basedOn w:val="Normal"/>
    <w:next w:val="Normal"/>
    <w:qFormat/>
    <w:pPr>
      <w:keepNext w:val="true"/>
      <w:numPr>
        <w:ilvl w:val="2"/>
        <w:numId w:val="1"/>
      </w:numPr>
      <w:jc w:val="center"/>
      <w:outlineLvl w:val="2"/>
    </w:pPr>
    <w:rPr>
      <w:b/>
      <w:color w:val="00000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1999-12-27T16:39:00Z</dcterms:created>
  <dc:creator>dlangela</dc:creator>
  <dc:description/>
  <dc:language>en-CA</dc:language>
  <cp:lastModifiedBy>ENRON</cp:lastModifiedBy>
  <cp:lastPrinted>1999-12-06T17:26:00Z</cp:lastPrinted>
  <dcterms:modified xsi:type="dcterms:W3CDTF">1999-12-27T16:45:00Z</dcterms:modified>
  <cp:revision>3</cp:revision>
  <dc:subject/>
  <dc:title> </dc:title>
</cp:coreProperties>
</file>