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3175" w:type="dxa"/>
        <w:jc w:val="start"/>
        <w:tblInd w:w="0" w:type="dxa"/>
        <w:tblLayout w:type="fixed"/>
        <w:tblCellMar>
          <w:top w:w="0" w:type="dxa"/>
          <w:start w:w="108" w:type="dxa"/>
          <w:bottom w:w="0" w:type="dxa"/>
          <w:end w:w="108" w:type="dxa"/>
        </w:tblCellMar>
      </w:tblPr>
      <w:tblGrid>
        <w:gridCol w:w="828"/>
        <w:gridCol w:w="549"/>
        <w:gridCol w:w="1377"/>
        <w:gridCol w:w="1377"/>
        <w:gridCol w:w="1506"/>
        <w:gridCol w:w="7538"/>
      </w:tblGrid>
      <w:tr>
        <w:trPr/>
        <w:tc>
          <w:tcPr>
            <w:tcW w:w="828" w:type="dxa"/>
            <w:tcBorders/>
          </w:tcPr>
          <w:p>
            <w:pPr>
              <w:pStyle w:val="Normal"/>
              <w:rPr/>
            </w:pPr>
            <w:r>
              <w:rPr/>
              <w:object w:dxaOrig="4635" w:dyaOrig="460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7.8pt;height:27.6pt" filled="f" o:ole="">
                  <v:imagedata r:id="rId3" o:title=""/>
                </v:shape>
                <o:OLEObject Type="Embed" ProgID="" ShapeID="ole_rId2" DrawAspect="Content" ObjectID="_215022406" r:id="rId2"/>
              </w:object>
            </w:r>
          </w:p>
        </w:tc>
        <w:tc>
          <w:tcPr>
            <w:tcW w:w="12347" w:type="dxa"/>
            <w:gridSpan w:val="5"/>
            <w:tcBorders/>
          </w:tcPr>
          <w:p>
            <w:pPr>
              <w:pStyle w:val="Normal"/>
              <w:jc w:val="center"/>
              <w:rPr>
                <w:rFonts w:ascii="Antique Olive" w:hAnsi="Antique Olive" w:cs="Antique Olive"/>
                <w:b/>
                <w:sz w:val="32"/>
              </w:rPr>
            </w:pPr>
            <w:r>
              <w:rPr>
                <w:rFonts w:cs="Antique Olive" w:ascii="Antique Olive" w:hAnsi="Antique Olive"/>
                <w:b/>
                <w:sz w:val="32"/>
              </w:rPr>
              <w:t>ENRON INTERNATIONAL SOUTHERN CONE</w:t>
            </w:r>
          </w:p>
        </w:tc>
      </w:tr>
      <w:tr>
        <w:trPr/>
        <w:tc>
          <w:tcPr>
            <w:tcW w:w="13175" w:type="dxa"/>
            <w:gridSpan w:val="6"/>
            <w:tcBorders/>
            <w:shd w:fill="FFFFFF" w:val="clear"/>
          </w:tcPr>
          <w:p>
            <w:pPr>
              <w:pStyle w:val="Heading2"/>
              <w:ind w:hanging="0" w:start="0"/>
              <w:rPr/>
            </w:pPr>
            <w:r>
              <w:rPr/>
              <w:t>PROJ`ECTS</w:t>
            </w:r>
          </w:p>
        </w:tc>
      </w:tr>
      <w:tr>
        <w:trPr/>
        <w:tc>
          <w:tcPr>
            <w:tcW w:w="13175" w:type="dxa"/>
            <w:gridSpan w:val="6"/>
            <w:tcBorders/>
            <w:shd w:fill="FFFFFF" w:val="clear"/>
          </w:tcPr>
          <w:p>
            <w:pPr>
              <w:pStyle w:val="Normal"/>
              <w:jc w:val="center"/>
              <w:rPr>
                <w:color w:val="000000"/>
              </w:rPr>
            </w:pPr>
            <w:r>
              <w:rPr>
                <w:color w:val="000000"/>
              </w:rPr>
              <w:t>BA TRADING</w:t>
            </w:r>
          </w:p>
        </w:tc>
      </w:tr>
      <w:tr>
        <w:trPr/>
        <w:tc>
          <w:tcPr>
            <w:tcW w:w="13175" w:type="dxa"/>
            <w:gridSpan w:val="6"/>
            <w:tcBorders/>
            <w:shd w:fill="FFFFFF" w:val="clear"/>
          </w:tcPr>
          <w:p>
            <w:pPr>
              <w:pStyle w:val="Normal"/>
              <w:jc w:val="center"/>
              <w:rPr>
                <w:color w:val="000000"/>
              </w:rPr>
            </w:pPr>
            <w:r>
              <w:rPr>
                <w:color w:val="000000"/>
              </w:rPr>
              <w:t xml:space="preserve">As of September 28, 1999 </w:t>
            </w:r>
          </w:p>
        </w:tc>
      </w:tr>
      <w:tr>
        <w:trPr/>
        <w:tc>
          <w:tcPr>
            <w:tcW w:w="13175" w:type="dxa"/>
            <w:gridSpan w:val="6"/>
            <w:tcBorders/>
            <w:shd w:fill="FFFFFF" w:val="clear"/>
          </w:tcPr>
          <w:p>
            <w:pPr>
              <w:pStyle w:val="Normal"/>
              <w:snapToGrid w:val="false"/>
              <w:rPr>
                <w:b/>
                <w:color w:val="000000"/>
              </w:rPr>
            </w:pPr>
            <w:r>
              <w:rPr>
                <w:b/>
                <w:color w:val="000000"/>
              </w:rPr>
            </w:r>
          </w:p>
        </w:tc>
      </w:tr>
      <w:tr>
        <w:trPr/>
        <w:tc>
          <w:tcPr>
            <w:tcW w:w="13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Heading3"/>
              <w:ind w:hanging="0" w:start="0"/>
              <w:rPr/>
            </w:pPr>
            <w:r>
              <w:rPr/>
              <w:t>Project</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Normal"/>
              <w:jc w:val="center"/>
              <w:rPr>
                <w:b/>
                <w:color w:val="000000"/>
              </w:rPr>
            </w:pPr>
            <w:r>
              <w:rPr>
                <w:b/>
                <w:color w:val="000000"/>
              </w:rPr>
              <w:t>Attorney</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color w:val="000000"/>
              </w:rPr>
            </w:pPr>
            <w:r>
              <w:rPr>
                <w:b/>
                <w:color w:val="000000"/>
              </w:rPr>
              <w:t>Outside</w:t>
            </w:r>
          </w:p>
          <w:p>
            <w:pPr>
              <w:pStyle w:val="Normal"/>
              <w:jc w:val="center"/>
              <w:rPr>
                <w:b/>
                <w:color w:val="000000"/>
              </w:rPr>
            </w:pPr>
            <w:r>
              <w:rPr>
                <w:b/>
                <w:color w:val="000000"/>
              </w:rPr>
              <w:t>Attorney</w:t>
            </w:r>
          </w:p>
        </w:tc>
        <w:tc>
          <w:tcPr>
            <w:tcW w:w="1506" w:type="dxa"/>
            <w:tcBorders>
              <w:top w:val="single" w:sz="6" w:space="0" w:color="000000"/>
              <w:start w:val="single" w:sz="6" w:space="0" w:color="000000"/>
              <w:bottom w:val="single" w:sz="6" w:space="0" w:color="000000"/>
              <w:end w:val="single" w:sz="6" w:space="0" w:color="000000"/>
            </w:tcBorders>
            <w:shd w:fill="CCCCCC" w:val="clear"/>
          </w:tcPr>
          <w:p>
            <w:pPr>
              <w:pStyle w:val="Heading3"/>
              <w:ind w:hanging="0" w:start="0"/>
              <w:rPr/>
            </w:pPr>
            <w:r>
              <w:rPr/>
              <w:t>Developer/</w:t>
            </w:r>
          </w:p>
          <w:p>
            <w:pPr>
              <w:pStyle w:val="Normal"/>
              <w:jc w:val="center"/>
              <w:rPr>
                <w:b/>
                <w:color w:val="000000"/>
              </w:rPr>
            </w:pPr>
            <w:r>
              <w:rPr>
                <w:b/>
                <w:color w:val="000000"/>
              </w:rPr>
              <w:t>Originator</w:t>
            </w:r>
          </w:p>
        </w:tc>
        <w:tc>
          <w:tcPr>
            <w:tcW w:w="7538"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Heading1"/>
              <w:ind w:hanging="0" w:start="0"/>
              <w:jc w:val="center"/>
              <w:rPr>
                <w:color w:val="000000"/>
              </w:rPr>
            </w:pPr>
            <w:r>
              <w:rPr>
                <w:color w:val="000000"/>
              </w:rPr>
              <w:t>Project Status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Total Assignment of part of the MOU.</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b/>
              </w:rPr>
              <w:t>B. Hendry</w:t>
            </w:r>
          </w:p>
          <w:p>
            <w:pPr>
              <w:pStyle w:val="Normal"/>
              <w:rPr>
                <w:b/>
              </w:rPr>
            </w:pPr>
            <w:r>
              <w:rPr>
                <w:b/>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b/>
              </w:rPr>
            </w:pPr>
            <w:r>
              <w:rPr>
                <w:b/>
              </w:rPr>
              <w:t>F. Cerisoli</w:t>
            </w:r>
          </w:p>
          <w:p>
            <w:pPr>
              <w:pStyle w:val="Normal"/>
              <w:rPr>
                <w:b/>
              </w:rPr>
            </w:pPr>
            <w:r>
              <w:rPr>
                <w:b/>
              </w:rPr>
              <w:t>G. Aquilar</w:t>
            </w:r>
          </w:p>
          <w:p>
            <w:pPr>
              <w:pStyle w:val="Heading1"/>
              <w:ind w:hanging="0" w:start="0"/>
              <w:rPr/>
            </w:pPr>
            <w:r>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Total will pay a fee to obtain our consent to an assignment of part of Total’s obligation to two other producers.  We obtained a joint and several obligation in the assignment.  The fee is more or less equal to the claims Piedra Buena was claiming against Enron for gas delivered by Camuzzi. Assignment agreement sent to Cp’s for execution. Assignment agreement sent to Cp. on 09/16 for execution</w:t>
            </w:r>
            <w:r>
              <w:rPr>
                <w:b/>
                <w:sz w:val="24"/>
              </w:rPr>
              <w:t xml:space="preserve">.  </w:t>
            </w:r>
            <w:r>
              <w:rPr>
                <w:b/>
                <w:color w:val="FF0000"/>
                <w:sz w:val="24"/>
              </w:rPr>
              <w:t xml:space="preserve">  DONE</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Central Puerto MOU for spot sales of Gas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Sent to cp for review.</w:t>
            </w:r>
            <w:r>
              <w:rPr>
                <w:b/>
              </w:rPr>
              <w:t xml:space="preserve">  Cp sent comments, Gaby to give comments to Andrea. </w:t>
            </w:r>
          </w:p>
          <w:p>
            <w:pPr>
              <w:pStyle w:val="Header"/>
              <w:tabs>
                <w:tab w:val="clear" w:pos="4320"/>
                <w:tab w:val="clear" w:pos="8640"/>
              </w:tabs>
              <w:rPr>
                <w:b/>
              </w:rPr>
            </w:pPr>
            <w:r>
              <w:rPr>
                <w:b/>
              </w:rPr>
              <w:t>Changes suggested by cp were made and document will be newly sent out for review.</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Central Puerto 10 year gas Termsheet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Gas Termsheet being prepared to be sent to cp for review.</w:t>
            </w:r>
            <w:r>
              <w:rPr>
                <w:b/>
              </w:rPr>
              <w:t xml:space="preserve">  Termsheet being analyzed by cp.</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Renault gas termsheet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Gas Termsheet sent to cp for review.  </w:t>
            </w:r>
            <w:r>
              <w:rPr>
                <w:b/>
              </w:rPr>
              <w:t>Negotiations on ED contract w/TGN to cover volumes being negotiated.  Major point of difference is the 16 hour flow provision and damages clause. ED contract with TGN effective as of 09/15. Cp reviewing final details of the gas sale offer. Renault filed for public hearing at the ENARGAS and invited us to attend as an interested third party. Enargas is trying to delay public hearing. Cp. accepted offer. Gas has been flowing since 09/17.   ENARGAS will probably call for a private hearing. Guille, Andrea and Jose Martinez de Hoz preparing strategy Distributor invoiced Renault full firm tariff despite no Contract is in place.</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Total MOU for spot trades in Austral Basin</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p>
            <w:pPr>
              <w:pStyle w:val="Normal"/>
              <w:rPr/>
            </w:pPr>
            <w:r>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Sent mark-up of MOU to cp for review.  </w:t>
            </w:r>
            <w:r>
              <w:rPr>
                <w:b/>
              </w:rPr>
              <w:t>Cp sent comments back to Gaby.</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ED Transportation Contract with TGN</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b/>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b/>
              </w:rPr>
            </w:pPr>
            <w:r>
              <w:rPr>
                <w:b/>
              </w:rPr>
              <w:t>J. Shoobridge</w:t>
            </w:r>
          </w:p>
          <w:p>
            <w:pPr>
              <w:pStyle w:val="Normal"/>
              <w:rPr>
                <w:b/>
              </w:rPr>
            </w:pPr>
            <w:r>
              <w:rPr>
                <w:b/>
              </w:rPr>
              <w:t>G. Canovas</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Negotiations ongoing regarding the form of ED provisions.  A provisional 4 week agreement has been offered by TGN pending final negotiations</w:t>
            </w:r>
            <w:r>
              <w:rPr>
                <w:b/>
              </w:rPr>
              <w:t>. Ed contract effective as of 09/15. We obtained a waiver of standard limitation of damages policy</w:t>
            </w:r>
          </w:p>
          <w:p>
            <w:pPr>
              <w:pStyle w:val="Header"/>
              <w:tabs>
                <w:tab w:val="clear" w:pos="4320"/>
                <w:tab w:val="clear" w:pos="8640"/>
              </w:tabs>
              <w:rPr>
                <w:b/>
              </w:rPr>
            </w:pPr>
            <w:r>
              <w:rPr>
                <w:b/>
              </w:rPr>
              <w:t xml:space="preserve">.                                                                                                                          </w:t>
            </w:r>
            <w:r>
              <w:rPr>
                <w:b/>
                <w:color w:val="FF0000"/>
              </w:rPr>
              <w:t>DONE</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Power Sale Agreement with Champion Paper Company Brazil</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Bertone</w:t>
            </w:r>
          </w:p>
          <w:p>
            <w:pPr>
              <w:pStyle w:val="Normal"/>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D. Carroll</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Draft/sample documents have been prepared for customer review.  Commercial team to meet to go over structure of proposed sale.</w:t>
            </w:r>
            <w:r>
              <w:rPr>
                <w:b/>
              </w:rPr>
              <w:t xml:space="preserve">  Deal is on hold.</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Research on Bolivian Law relating to marketing and import and export of natural gas</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b/>
              </w:rPr>
              <w:t>B. Hendry</w:t>
            </w:r>
          </w:p>
          <w:p>
            <w:pPr>
              <w:pStyle w:val="Normal"/>
              <w:rPr>
                <w:b/>
              </w:rPr>
            </w:pPr>
            <w:r>
              <w:rPr>
                <w:b/>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b/>
              </w:rPr>
            </w:pPr>
            <w:r>
              <w:rPr>
                <w:b/>
              </w:rPr>
              <w:t>D. Black</w:t>
            </w:r>
          </w:p>
          <w:p>
            <w:pPr>
              <w:pStyle w:val="Normal"/>
              <w:rPr>
                <w:b/>
              </w:rPr>
            </w:pPr>
            <w:r>
              <w:rPr>
                <w:b/>
              </w:rPr>
              <w:t>F. Cerisoli</w:t>
            </w:r>
          </w:p>
          <w:p>
            <w:pPr>
              <w:pStyle w:val="Normal"/>
              <w:rPr>
                <w:b/>
              </w:rPr>
            </w:pPr>
            <w:r>
              <w:rPr>
                <w:b/>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Initial meetings were held on Wednesday 09/15 evening and Thursday 09/16 morning with Ramiro Guevara in Santa Cruz. Gas purchase termsheets sent to Cp. Andrea working on Crazy Molecule project on the Bolivian side. Andrea in Bolivia with Pete Weidler and Mike Smith to meet with Sirese and discuss final structure of the Project.  Broker agreements with Producers to be ready by Friday.</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Power swap with Duke Energy International</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b/>
              </w:rPr>
              <w:t>S. Shackelton</w:t>
            </w:r>
          </w:p>
          <w:p>
            <w:pPr>
              <w:pStyle w:val="Normal"/>
              <w:rPr>
                <w:b/>
              </w:rPr>
            </w:pPr>
            <w:r>
              <w:rPr>
                <w:b/>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b/>
              </w:rPr>
              <w:t>Richard Sanders, ECT litigatation manager</w:t>
            </w:r>
          </w:p>
        </w:tc>
        <w:tc>
          <w:tcPr>
            <w:tcW w:w="1506"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J. Poole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Trade is dead, cp was thinking one index during negotiations and Enron was talking about a different index.  Duke has indicated they are talking to their counsel to see if they have a trade anyway with their index as the operative index.  Don and Fede have been in discussion with Duke commercial guys explaining that there was no meeting of the minds on this trade.  Richard Sanders is reviewing situation with commercial group and with Greg Whalley</w:t>
            </w:r>
            <w:r>
              <w:rPr>
                <w:b/>
              </w:rPr>
              <w:t>.Greg Whalley to talk with Duke business person, probably E. Ludtke. R. Sanders stated that from a legal point of view, Enron’s ´position could be defended if US law were applicable. Don and Erik from Duke reviewed the tapes, Duke to decide if it wants to pursue issue.</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Return of S. Porters Apartment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Apartment returned. Public Notary involved. July payment still being discussed. </w:t>
            </w:r>
            <w:r>
              <w:rPr>
                <w:b/>
              </w:rPr>
              <w:t xml:space="preserve"> Andrea also trying to get deposits back for Bill Butler’s apartment.  Memo on legal fee proposal for collection sent to George Frumkin.</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Broker Agreements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Jose Martinez de Hoz</w:t>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We are working on drafting a Broker agreement form for both the Buyer and Seller.  Agent will agree to extensive performance obligations to both Buyer and Seller.</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Y2K Project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Trying to coordinate with Julie Ramos and Mitch Robinson on the BA office Y2K plan.  First meeting is scheduled for Friday to discuss mission critical issues controlled by third parties.  AA sent a questionnaire on the Y2K issue which Julie Ramos indicates we have already completed for them. </w:t>
            </w:r>
            <w:r>
              <w:rPr>
                <w:b/>
              </w:rPr>
              <w:t>Molinos sent a questionnaire on the Y2K issue which was responded by Mitch Robinson. Preparing legal review of Contracts that will be in place Jan. 1</w:t>
            </w:r>
            <w:r>
              <w:rPr>
                <w:b/>
                <w:vertAlign w:val="superscript"/>
              </w:rPr>
              <w:t>st</w:t>
            </w:r>
            <w:r>
              <w:rPr>
                <w:b/>
              </w:rPr>
              <w: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 xml:space="preserve">Ban </w:t>
            </w:r>
            <w:r>
              <w:rPr>
                <w:b/>
              </w:rPr>
              <w:t xml:space="preserve">and Metro </w:t>
            </w:r>
            <w:r>
              <w:rPr/>
              <w:t>Distribution Contract Request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p>
            <w:pPr>
              <w:pStyle w:val="Normal"/>
              <w:rPr/>
            </w:pPr>
            <w:r>
              <w:rPr/>
              <w:t>G. Canovas</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We requested a distribution contract which was denied.  Andrea to review issues that could be raised if we requested a public hearing (to be discussed with regulatory affairs and commercial team.)  Mike Smith to be included in any decisions or discussions relating to this issue.  Conference call on 8/30/99 with Mike, Brent and Guillermo to discuss open access in Argentina. </w:t>
            </w:r>
            <w:r>
              <w:rPr>
                <w:b/>
              </w:rPr>
              <w:t>Analyzing possibility of requesting a public hearing.</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Bagley Gas Sale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F. Cerisoli</w:t>
            </w:r>
          </w:p>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ENARGAS is supposed to have come down in favor of Bagley, we are awaiting confirmation.   Pursuant to informal information received by Guillermo Canovas ENARGAS will issue a resolution in favor of endusers by ordering LDCs to remove reserve charges for interruptible distribution and charge only for distribution. Deal closed. We are currently serving Bagley, even though it does not yet have distribution agreement with Metro. ENARGAS is not taking steps to timely resolve this issue.  Commercial group is looking for ways to push the process forward. Modification to the original 60 day term specified in the addenda was sent to Cp for execution. Bagley has informed that they are  seriously considering requesting a public hearing  due to Enargas delay in issuing resolution. </w:t>
            </w:r>
            <w:r>
              <w:rPr>
                <w:b/>
              </w:rPr>
              <w:t xml:space="preserve">We are trying to schedule a meeting on 09/22 with José M. De Hoz and Bagley’s Marval O’Farrell attorneys to discuss strategy for public hearing. Meeting was held on 09/22 at Marval O’Farrell. Bagley’s attorneys concluded they would request a private meeting with Enargas Directors to demand an explanation for Enargas’ delay in issuing a resolution. Bagley will wait and see the results of before analyzing whether or not to request a public hearing.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Tax Lobbying in Argentina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S. Neal</w:t>
            </w:r>
          </w:p>
          <w:p>
            <w:pPr>
              <w:pStyle w:val="Normal"/>
              <w:rPr/>
            </w:pPr>
            <w:r>
              <w:rPr/>
              <w:t>R. Pensotti</w:t>
            </w:r>
          </w:p>
          <w:p>
            <w:pPr>
              <w:pStyle w:val="Heading1"/>
              <w:ind w:hanging="0" w:start="0"/>
              <w:rPr>
                <w:b w:val="false"/>
              </w:rPr>
            </w:pPr>
            <w:r>
              <w:rPr>
                <w:b w:val="false"/>
              </w:rPr>
              <w:t>C. Bastos</w:t>
            </w:r>
          </w:p>
          <w:p>
            <w:pPr>
              <w:pStyle w:val="Normal"/>
              <w:rPr/>
            </w:pPr>
            <w:r>
              <w:rPr/>
              <w:t>J. Ginty</w:t>
            </w:r>
          </w:p>
          <w:p>
            <w:pPr>
              <w:pStyle w:val="Normal"/>
              <w:rPr/>
            </w:pPr>
            <w:r>
              <w:rPr/>
              <w:t>B. Rosen</w:t>
            </w:r>
          </w:p>
          <w:p>
            <w:pPr>
              <w:pStyle w:val="Normal"/>
              <w:rPr/>
            </w:pPr>
            <w:r>
              <w:rPr/>
            </w:r>
          </w:p>
        </w:tc>
        <w:tc>
          <w:tcPr>
            <w:tcW w:w="7538" w:type="dxa"/>
            <w:tcBorders>
              <w:top w:val="single" w:sz="6" w:space="0" w:color="000000"/>
              <w:start w:val="single" w:sz="6" w:space="0" w:color="000000"/>
              <w:bottom w:val="single" w:sz="6" w:space="0" w:color="000000"/>
              <w:end w:val="single" w:sz="6" w:space="0" w:color="000000"/>
            </w:tcBorders>
          </w:tcPr>
          <w:p>
            <w:pPr>
              <w:pStyle w:val="Normal"/>
              <w:rPr>
                <w:b/>
              </w:rPr>
            </w:pPr>
            <w:r>
              <w:rPr/>
              <w:t xml:space="preserve">Meeting with Mr. Lenicov will be April 28 attended by </w:t>
              <w:br/>
              <w:t>Terry Thorn and possible Roberto Pensotti.  Arthur Anderson to meet with Roberto and Guillermo Canovas today.</w:t>
            </w:r>
            <w:r>
              <w:rPr>
                <w:b/>
              </w:rPr>
              <w:t xml:space="preserve"> </w:t>
            </w:r>
            <w:r>
              <w:rPr/>
              <w:t>Outcome of meeting was positive. Lenicov expressed intent of the provinces to come to some resolution of incorporating turnover tax into VAT, although it may take some time. Guillermo Canovas is currently preparing a white paper to submit to the Arbitral Comision in order to request turnover tax  exemption</w:t>
            </w:r>
            <w:r>
              <w:rPr>
                <w:b/>
              </w:rPr>
              <w:t xml:space="preserve">. </w:t>
            </w:r>
            <w:r>
              <w:rPr/>
              <w:t xml:space="preserve"> Enron has filed for Turnover Tax exemption from the province of Buenos Aires. Don wants to stop paying the tax pending the outcome of the application.</w:t>
            </w:r>
            <w:r>
              <w:rPr>
                <w:b/>
              </w:rPr>
              <w:t xml:space="preserve">  </w:t>
            </w:r>
            <w:r>
              <w:rPr/>
              <w:t>Tax has signed off on the proposal, looking into one final issue for Beth.</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Tax Lobbying in Brazil</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S. Neal</w:t>
            </w:r>
          </w:p>
          <w:p>
            <w:pPr>
              <w:pStyle w:val="Normal"/>
              <w:rPr/>
            </w:pPr>
            <w:r>
              <w:rPr/>
              <w:t>R. Waddell</w:t>
            </w:r>
          </w:p>
          <w:p>
            <w:pPr>
              <w:pStyle w:val="Heading1"/>
              <w:ind w:hanging="0" w:start="0"/>
              <w:rPr>
                <w:b w:val="false"/>
              </w:rPr>
            </w:pPr>
            <w:r>
              <w:rPr>
                <w:b w:val="false"/>
              </w:rPr>
              <w:t>C. Bastos</w:t>
            </w:r>
          </w:p>
          <w:p>
            <w:pPr>
              <w:pStyle w:val="Header"/>
              <w:tabs>
                <w:tab w:val="clear" w:pos="4320"/>
                <w:tab w:val="clear" w:pos="8640"/>
              </w:tabs>
              <w:rPr/>
            </w:pPr>
            <w:r>
              <w:rPr/>
              <w:t>J. Ginty</w:t>
            </w:r>
          </w:p>
          <w:p>
            <w:pPr>
              <w:pStyle w:val="Normal"/>
              <w:rPr/>
            </w:pPr>
            <w:r>
              <w:rPr/>
              <w:t>B. Rosen</w:t>
            </w:r>
          </w:p>
        </w:tc>
        <w:tc>
          <w:tcPr>
            <w:tcW w:w="7538" w:type="dxa"/>
            <w:tcBorders>
              <w:top w:val="single" w:sz="6" w:space="0" w:color="000000"/>
              <w:start w:val="single" w:sz="6" w:space="0" w:color="000000"/>
              <w:bottom w:val="single" w:sz="6" w:space="0" w:color="000000"/>
              <w:end w:val="single" w:sz="6" w:space="0" w:color="000000"/>
            </w:tcBorders>
          </w:tcPr>
          <w:p>
            <w:pPr>
              <w:pStyle w:val="Normal"/>
              <w:rPr/>
            </w:pPr>
            <w:r>
              <w:rPr/>
              <w:t>Need to start review process to determine appropriate strategy to lobby on tax issues.  Randy recommends Rachel Novis at Machado Meyer for legal tax help.</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Non-Resident Director Tax Issue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Price Waterhouse (Consultants)</w:t>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7538" w:type="dxa"/>
            <w:tcBorders>
              <w:top w:val="single" w:sz="6" w:space="0" w:color="000000"/>
              <w:start w:val="single" w:sz="6" w:space="0" w:color="000000"/>
              <w:bottom w:val="single" w:sz="6" w:space="0" w:color="000000"/>
              <w:end w:val="single" w:sz="6" w:space="0" w:color="000000"/>
            </w:tcBorders>
          </w:tcPr>
          <w:p>
            <w:pPr>
              <w:pStyle w:val="Normal"/>
              <w:rPr/>
            </w:pPr>
            <w:r>
              <w:rPr/>
              <w:t xml:space="preserve">Working with ECT tax to provide information to Jim Derrick on Tax issues related to being a director in Argentina. </w:t>
            </w:r>
            <w:r>
              <w:rPr>
                <w:b/>
              </w:rPr>
              <w:t xml:space="preserve"> </w:t>
            </w:r>
            <w:r>
              <w:rPr/>
              <w:t>Memorandum has been  prepared by the tax group and sent to Jim Derrick.</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Chauvco Gas Purchase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Normal"/>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D. Black </w:t>
            </w:r>
          </w:p>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Andrea to talk to Gabriela to determine what we need in terms of documentation. Spot forms sent to Cp. for review. </w:t>
            </w:r>
            <w:r>
              <w:rPr>
                <w:b/>
              </w:rPr>
              <w:t xml:space="preserve">Spot contract form approved by Cp. Contracts  sent out to Cp.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Preparation of Contract Templates for Power Purchases and Sales</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A. Bertone</w:t>
            </w:r>
          </w:p>
          <w:p>
            <w:pPr>
              <w:pStyle w:val="Header"/>
              <w:tabs>
                <w:tab w:val="clear" w:pos="4320"/>
                <w:tab w:val="clear" w:pos="8640"/>
              </w:tabs>
              <w:rPr>
                <w:b/>
              </w:rPr>
            </w:pPr>
            <w:r>
              <w:rPr>
                <w:b/>
              </w:rPr>
              <w:t>S. Shackelton</w:t>
            </w:r>
          </w:p>
          <w:p>
            <w:pPr>
              <w:pStyle w:val="Header"/>
              <w:tabs>
                <w:tab w:val="clear" w:pos="4320"/>
                <w:tab w:val="clear" w:pos="8640"/>
              </w:tabs>
              <w:rPr>
                <w:b/>
              </w:rPr>
            </w:pPr>
            <w:r>
              <w:rPr>
                <w:b/>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b/>
              </w:rPr>
            </w:pPr>
            <w:r>
              <w:rPr>
                <w:b/>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ECT templates being sent to the Tozzini firm for their review and revision based upon local requirements and law.</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ICI power purchase agreement</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B. Hendry</w:t>
            </w:r>
          </w:p>
          <w:p>
            <w:pPr>
              <w:pStyle w:val="Header"/>
              <w:tabs>
                <w:tab w:val="clear" w:pos="4320"/>
                <w:tab w:val="clear" w:pos="8640"/>
              </w:tabs>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Draft sent to cp for review.  </w:t>
            </w:r>
            <w:r>
              <w:rPr>
                <w:b/>
              </w:rPr>
              <w:t xml:space="preserve">Cp has accepted terms and is waiting for draft of offer. </w:t>
            </w:r>
          </w:p>
          <w:p>
            <w:pPr>
              <w:pStyle w:val="Header"/>
              <w:tabs>
                <w:tab w:val="clear" w:pos="4320"/>
                <w:tab w:val="clear" w:pos="8640"/>
              </w:tabs>
              <w:rPr>
                <w:b/>
              </w:rPr>
            </w:pPr>
            <w:r>
              <w:rPr>
                <w:b/>
              </w:rPr>
              <w:t>ICI requested 6 months offer with condition precedent to obtain written approval from CAMMESA or possibility to extend for an additional 6 months under demand marketing structure if the SE  issues resolution approving 50% load Curve back up from Marketers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Ferrum Power Purchase Agreement</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B. Hendry</w:t>
            </w:r>
          </w:p>
          <w:p>
            <w:pPr>
              <w:pStyle w:val="Header"/>
              <w:tabs>
                <w:tab w:val="clear" w:pos="4320"/>
                <w:tab w:val="clear" w:pos="8640"/>
              </w:tabs>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Offer sent to cp.  Received notice from CAMESSA denying administration of the contract because of dispute with Energy Secretary over interpretation of Demanding Marketing volumes.</w:t>
            </w:r>
            <w:r>
              <w:rPr>
                <w:b/>
              </w:rPr>
              <w:t xml:space="preserve">  </w:t>
            </w:r>
            <w:r>
              <w:rPr/>
              <w:t>Negotiations are ongoing on getting a resolution from the Energy Secretary to allow for Marketers to only have to contract 50% of a load curve of a Buyer.</w:t>
            </w:r>
            <w:r>
              <w:rPr>
                <w:b/>
              </w:rPr>
              <w:t xml:space="preserve"> CAMMESA has given approval now, Enron to find a PPA for the final three months.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IMASA Power Bypass</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A. Bertone</w:t>
            </w:r>
          </w:p>
          <w:p>
            <w:pPr>
              <w:pStyle w:val="Header"/>
              <w:tabs>
                <w:tab w:val="clear" w:pos="4320"/>
                <w:tab w:val="clear" w:pos="8640"/>
              </w:tabs>
              <w:rPr>
                <w:b/>
              </w:rPr>
            </w:pPr>
            <w:r>
              <w:rPr>
                <w:b/>
              </w:rPr>
              <w:t>B. Hendry</w:t>
            </w:r>
          </w:p>
          <w:p>
            <w:pPr>
              <w:pStyle w:val="Header"/>
              <w:tabs>
                <w:tab w:val="clear" w:pos="4320"/>
                <w:tab w:val="clear" w:pos="8640"/>
              </w:tabs>
              <w:rPr>
                <w:b/>
              </w:rPr>
            </w:pPr>
            <w:r>
              <w:rPr>
                <w:b/>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b/>
              </w:rPr>
            </w:pPr>
            <w:r>
              <w:rPr>
                <w:b/>
              </w:rPr>
              <w:t>J.Shoobridge</w:t>
            </w:r>
          </w:p>
          <w:p>
            <w:pPr>
              <w:pStyle w:val="Normal"/>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 xml:space="preserve">Andrea Bertone preparing confidentiality and Nonshopping Agreement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CAMUZZI Transportation Agreement</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 Calo</w:t>
            </w:r>
          </w:p>
          <w:p>
            <w:pPr>
              <w:pStyle w:val="Header"/>
              <w:tabs>
                <w:tab w:val="clear" w:pos="4320"/>
                <w:tab w:val="clear" w:pos="8640"/>
              </w:tabs>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ENARGAS has requested the parties to redraft certain provisions of the Contract, because for instance the tarrif  in the contract was higher than the regulated tarrif</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ED Procedures</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A.Calo</w:t>
            </w:r>
          </w:p>
          <w:p>
            <w:pPr>
              <w:pStyle w:val="Header"/>
              <w:tabs>
                <w:tab w:val="clear" w:pos="4320"/>
                <w:tab w:val="clear" w:pos="8640"/>
              </w:tabs>
              <w:rPr>
                <w:b/>
              </w:rPr>
            </w:pPr>
            <w:r>
              <w:rPr>
                <w:b/>
              </w:rPr>
              <w:t xml:space="preserve">G. Canovas </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b/>
              </w:rPr>
            </w:pPr>
            <w:r>
              <w:rPr>
                <w:b/>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New ED procedures have been published by the ENARGAS</w:t>
            </w:r>
          </w:p>
        </w:tc>
      </w:tr>
    </w:tbl>
    <w:p>
      <w:pPr>
        <w:pStyle w:val="Header"/>
        <w:tabs>
          <w:tab w:val="clear" w:pos="4320"/>
          <w:tab w:val="clear" w:pos="8640"/>
        </w:tabs>
        <w:rPr/>
      </w:pPr>
      <w:r>
        <w:br w:type="page"/>
      </w:r>
      <w:r>
        <w:rPr/>
      </w:r>
    </w:p>
    <w:tbl>
      <w:tblPr>
        <w:tblW w:w="13175" w:type="dxa"/>
        <w:jc w:val="start"/>
        <w:tblInd w:w="0" w:type="dxa"/>
        <w:tblLayout w:type="fixed"/>
        <w:tblCellMar>
          <w:top w:w="0" w:type="dxa"/>
          <w:start w:w="108" w:type="dxa"/>
          <w:bottom w:w="0" w:type="dxa"/>
          <w:end w:w="108" w:type="dxa"/>
        </w:tblCellMar>
      </w:tblPr>
      <w:tblGrid>
        <w:gridCol w:w="828"/>
        <w:gridCol w:w="549"/>
        <w:gridCol w:w="7"/>
        <w:gridCol w:w="1370"/>
        <w:gridCol w:w="1377"/>
        <w:gridCol w:w="1377"/>
        <w:gridCol w:w="5220"/>
        <w:gridCol w:w="2447"/>
      </w:tblGrid>
      <w:tr>
        <w:trPr/>
        <w:tc>
          <w:tcPr>
            <w:tcW w:w="828" w:type="dxa"/>
            <w:tcBorders/>
          </w:tcPr>
          <w:p>
            <w:pPr>
              <w:pStyle w:val="Normal"/>
              <w:rPr/>
            </w:pPr>
            <w:r>
              <w:rPr/>
              <w:object w:dxaOrig="4635" w:dyaOrig="460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0.1pt;height:29.9pt" filled="f" o:ole="">
                  <v:imagedata r:id="rId5" o:title=""/>
                </v:shape>
                <o:OLEObject Type="Embed" ProgID="" ShapeID="ole_rId4" DrawAspect="Content" ObjectID="_827717847" r:id="rId4"/>
              </w:object>
            </w:r>
          </w:p>
        </w:tc>
        <w:tc>
          <w:tcPr>
            <w:tcW w:w="12347" w:type="dxa"/>
            <w:gridSpan w:val="7"/>
            <w:tcBorders/>
          </w:tcPr>
          <w:p>
            <w:pPr>
              <w:pStyle w:val="Normal"/>
              <w:jc w:val="center"/>
              <w:rPr>
                <w:rFonts w:ascii="Antique Olive" w:hAnsi="Antique Olive" w:cs="Antique Olive"/>
                <w:sz w:val="32"/>
              </w:rPr>
            </w:pPr>
            <w:r>
              <w:rPr>
                <w:rFonts w:cs="Antique Olive" w:ascii="Antique Olive" w:hAnsi="Antique Olive"/>
                <w:sz w:val="32"/>
              </w:rPr>
              <w:t>ENRON INTERNATIONAL SOUTHERN CONE</w:t>
            </w:r>
          </w:p>
        </w:tc>
      </w:tr>
      <w:tr>
        <w:trPr/>
        <w:tc>
          <w:tcPr>
            <w:tcW w:w="13175" w:type="dxa"/>
            <w:gridSpan w:val="8"/>
            <w:tcBorders/>
            <w:shd w:fill="FFFFFF" w:val="clear"/>
          </w:tcPr>
          <w:p>
            <w:pPr>
              <w:pStyle w:val="Heading2"/>
              <w:ind w:hanging="0" w:start="0"/>
              <w:rPr/>
            </w:pPr>
            <w:r>
              <w:rPr/>
              <w:t>CLAIMS/LITIGATION/REGULATORY</w:t>
            </w:r>
          </w:p>
        </w:tc>
      </w:tr>
      <w:tr>
        <w:trPr/>
        <w:tc>
          <w:tcPr>
            <w:tcW w:w="13175" w:type="dxa"/>
            <w:gridSpan w:val="8"/>
            <w:tcBorders/>
            <w:shd w:fill="FFFFFF" w:val="clear"/>
          </w:tcPr>
          <w:p>
            <w:pPr>
              <w:pStyle w:val="Normal"/>
              <w:jc w:val="center"/>
              <w:rPr>
                <w:b/>
                <w:color w:val="000000"/>
              </w:rPr>
            </w:pPr>
            <w:r>
              <w:rPr>
                <w:b/>
                <w:color w:val="000000"/>
              </w:rPr>
              <w:t>BA Trading</w:t>
            </w:r>
          </w:p>
        </w:tc>
      </w:tr>
      <w:tr>
        <w:trPr/>
        <w:tc>
          <w:tcPr>
            <w:tcW w:w="13175" w:type="dxa"/>
            <w:gridSpan w:val="8"/>
            <w:tcBorders/>
            <w:shd w:fill="FFFFFF" w:val="clear"/>
          </w:tcPr>
          <w:p>
            <w:pPr>
              <w:pStyle w:val="Normal"/>
              <w:jc w:val="center"/>
              <w:rPr>
                <w:color w:val="000000"/>
              </w:rPr>
            </w:pPr>
            <w:r>
              <w:rPr>
                <w:color w:val="000000"/>
              </w:rPr>
              <w:t xml:space="preserve">As of September 28, 1999 </w:t>
            </w:r>
          </w:p>
        </w:tc>
      </w:tr>
      <w:tr>
        <w:trPr/>
        <w:tc>
          <w:tcPr>
            <w:tcW w:w="13175" w:type="dxa"/>
            <w:gridSpan w:val="8"/>
            <w:tcBorders/>
            <w:shd w:fill="FFFFFF" w:val="clear"/>
          </w:tcPr>
          <w:p>
            <w:pPr>
              <w:pStyle w:val="Normal"/>
              <w:snapToGrid w:val="false"/>
              <w:rPr>
                <w:color w:val="000000"/>
              </w:rPr>
            </w:pPr>
            <w:r>
              <w:rPr>
                <w:color w:val="000000"/>
              </w:rPr>
            </w:r>
          </w:p>
        </w:tc>
      </w:tr>
      <w:tr>
        <w:trPr/>
        <w:tc>
          <w:tcPr>
            <w:tcW w:w="13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Case</w:t>
            </w:r>
          </w:p>
        </w:tc>
        <w:tc>
          <w:tcPr>
            <w:tcW w:w="13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Companies</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Attorney</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color w:val="000000"/>
              </w:rPr>
            </w:pPr>
            <w:r>
              <w:rPr>
                <w:color w:val="000000"/>
              </w:rPr>
              <w:t>Outside</w:t>
            </w:r>
          </w:p>
          <w:p>
            <w:pPr>
              <w:pStyle w:val="Normal"/>
              <w:jc w:val="center"/>
              <w:rPr>
                <w:color w:val="000000"/>
              </w:rPr>
            </w:pPr>
            <w:r>
              <w:rPr>
                <w:color w:val="000000"/>
              </w:rPr>
              <w:t>Attorney</w:t>
            </w:r>
          </w:p>
        </w:tc>
        <w:tc>
          <w:tcPr>
            <w:tcW w:w="5220" w:type="dxa"/>
            <w:tcBorders>
              <w:top w:val="single" w:sz="6" w:space="0" w:color="000000"/>
              <w:start w:val="single" w:sz="6" w:space="0" w:color="000000"/>
              <w:end w:val="single" w:sz="6" w:space="0" w:color="000000"/>
            </w:tcBorders>
            <w:shd w:fill="CCCCCC" w:val="clear"/>
          </w:tcPr>
          <w:p>
            <w:pPr>
              <w:pStyle w:val="Heading1"/>
              <w:snapToGrid w:val="false"/>
              <w:ind w:hanging="0" w:start="0"/>
              <w:jc w:val="center"/>
              <w:rPr>
                <w:b w:val="false"/>
                <w:color w:val="000000"/>
              </w:rPr>
            </w:pPr>
            <w:r>
              <w:rPr>
                <w:b w:val="false"/>
                <w:color w:val="000000"/>
              </w:rPr>
            </w:r>
          </w:p>
          <w:p>
            <w:pPr>
              <w:pStyle w:val="Heading1"/>
              <w:ind w:hanging="0" w:start="0"/>
              <w:jc w:val="center"/>
              <w:rPr>
                <w:b w:val="false"/>
              </w:rPr>
            </w:pPr>
            <w:r>
              <w:rPr>
                <w:b w:val="false"/>
              </w:rPr>
              <w:t>Description</w:t>
            </w:r>
          </w:p>
        </w:tc>
        <w:tc>
          <w:tcPr>
            <w:tcW w:w="2447" w:type="dxa"/>
            <w:tcBorders>
              <w:top w:val="single" w:sz="6" w:space="0" w:color="000000"/>
              <w:start w:val="single" w:sz="6" w:space="0" w:color="000000"/>
              <w:end w:val="single" w:sz="6" w:space="0" w:color="000000"/>
            </w:tcBorders>
            <w:shd w:fill="CCCCCC" w:val="clear"/>
          </w:tcPr>
          <w:p>
            <w:pPr>
              <w:pStyle w:val="Heading1"/>
              <w:snapToGrid w:val="false"/>
              <w:ind w:hanging="0" w:start="0"/>
              <w:jc w:val="center"/>
              <w:rPr>
                <w:b w:val="false"/>
              </w:rPr>
            </w:pPr>
            <w:r>
              <w:rPr>
                <w:b w:val="false"/>
              </w:rPr>
            </w:r>
          </w:p>
          <w:p>
            <w:pPr>
              <w:pStyle w:val="Heading1"/>
              <w:ind w:hanging="0" w:start="0"/>
              <w:jc w:val="center"/>
              <w:rPr>
                <w:b w:val="false"/>
              </w:rPr>
            </w:pPr>
            <w:r>
              <w:rPr>
                <w:b w:val="false"/>
              </w:rPr>
              <w:t>Status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Response to ENARGAS order to unbundle</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Enron International Argentina S.A.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 xml:space="preserve">J. Wilson </w:t>
            </w:r>
          </w:p>
          <w:p>
            <w:pPr>
              <w:pStyle w:val="Normal"/>
              <w:rPr/>
            </w:pPr>
            <w:r>
              <w:rPr/>
              <w:t>M. Smith</w:t>
            </w:r>
          </w:p>
          <w:p>
            <w:pPr>
              <w:pStyle w:val="Normal"/>
              <w:rPr/>
            </w:pPr>
            <w:r>
              <w:rPr/>
              <w:t>R. Pensotti</w:t>
            </w:r>
          </w:p>
          <w:p>
            <w:pPr>
              <w:pStyle w:val="Normal"/>
              <w:rPr/>
            </w:pPr>
            <w:r>
              <w:rPr/>
              <w:t>G. Canovas</w:t>
            </w:r>
          </w:p>
          <w:p>
            <w:pPr>
              <w:pStyle w:val="Normal"/>
              <w:rPr/>
            </w:pPr>
            <w:r>
              <w:rPr/>
              <w:t xml:space="preserve">A. Calo </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Nestor Martinez (Consultant)</w:t>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Normal"/>
              <w:rPr/>
            </w:pPr>
            <w:r>
              <w:rPr/>
              <w:t>ENARGAS ordered Enron to describe its contacts as Interruptible and unbundle the prices.</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 xml:space="preserve">Responded to Order. Jane and Bob Williams are looking into BIT issues. We have filed amendments to the contracts with Buyatti, Vandenfil and Molinos.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Neuquen Tax Assessment</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TGS and Enron Pipeline Company Argentina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Williams</w:t>
            </w:r>
          </w:p>
          <w:p>
            <w:pPr>
              <w:pStyle w:val="Normal"/>
              <w:rPr/>
            </w:pPr>
            <w:r>
              <w:rPr/>
              <w:t>R. George</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Outside Consultant used by TGS</w:t>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Normal"/>
              <w:rPr/>
            </w:pPr>
            <w:r>
              <w:rPr/>
              <w:t>Province of Neuquen has levied a stamp tax on the Technical Services Agreement between TGS and EPCA.</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Enron and TGS have filed a response to the assessment.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TGN Tax Assessment Notices</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TGN and all its counterparts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Normal"/>
              <w:rPr/>
            </w:pPr>
            <w:r>
              <w:rPr/>
              <w:t>B. Rosen</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TGN has been approached by several Provinces claiming stamp taxes on its transportation contracts.  No counterpart (including Enron) has been served on these contracts.  However, TGN has provided notice to its counterparts because if found liable it will seek to split the liability.</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TGN is currently fighting the assessments.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Santa Cruz Tax Verification Notice</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p>
            <w:pPr>
              <w:pStyle w:val="Normal"/>
              <w:rPr/>
            </w:pPr>
            <w:r>
              <w:rPr/>
              <w:t>N. Muchmore</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Normal"/>
              <w:rPr/>
            </w:pPr>
            <w:r>
              <w:rPr/>
              <w:t>We’ve received a request for documentation. Tax people are working with Nancy Muchmore to determine an accurate response.</w:t>
            </w:r>
            <w:r>
              <w:rPr>
                <w:b/>
              </w:rPr>
              <w:t xml:space="preserve"> </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Audit took place.</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Auto Accident involving company car</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Enron International Argentina S.A.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Insurance Company Attorney</w:t>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As a result of a small accident involving one of Enron’s company cars the driver of the other car sent an initial demand for damages of $3,500 pesos made directly to the driver of the car and to EIASA.  The claimant was notified that all claims involving the insured vehicle had to be filed with the Insurance company.  Claimant has sent a demand to EIASA for mediation to take place on July 16.</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b/>
              </w:rPr>
            </w:pPr>
            <w:r>
              <w:rPr/>
              <w:t>The insurance company will provide counsel to Enron.</w:t>
            </w:r>
            <w:r>
              <w:rPr>
                <w:b/>
              </w:rPr>
              <w:t xml:space="preserve">  </w:t>
            </w:r>
            <w:r>
              <w:rPr/>
              <w:t>Insurance company made offer which was not accepted.  Next meeting on August 13.</w:t>
            </w:r>
          </w:p>
        </w:tc>
      </w:tr>
      <w:tr>
        <w:trPr/>
        <w:tc>
          <w:tcPr>
            <w:tcW w:w="1384" w:type="dxa"/>
            <w:gridSpan w:val="3"/>
            <w:tcBorders>
              <w:top w:val="single" w:sz="6" w:space="0" w:color="000000"/>
              <w:start w:val="single" w:sz="6" w:space="0" w:color="000000"/>
              <w:bottom w:val="single" w:sz="6" w:space="0" w:color="000000"/>
              <w:end w:val="single" w:sz="6" w:space="0" w:color="000000"/>
            </w:tcBorders>
          </w:tcPr>
          <w:p>
            <w:pPr>
              <w:pStyle w:val="Normal"/>
              <w:rPr/>
            </w:pPr>
            <w:r>
              <w:rPr/>
              <w:t>Contractual claim by Piedra Buena for penalty for reprogramming</w:t>
            </w:r>
          </w:p>
        </w:tc>
        <w:tc>
          <w:tcPr>
            <w:tcW w:w="1370" w:type="dxa"/>
            <w:tcBorders>
              <w:top w:val="single" w:sz="6" w:space="0" w:color="000000"/>
              <w:start w:val="single" w:sz="6" w:space="0" w:color="000000"/>
              <w:bottom w:val="single" w:sz="6" w:space="0" w:color="000000"/>
              <w:end w:val="single" w:sz="6" w:space="0" w:color="000000"/>
            </w:tcBorders>
          </w:tcPr>
          <w:p>
            <w:pPr>
              <w:pStyle w:val="Normal"/>
              <w:rPr/>
            </w:pPr>
            <w:r>
              <w:rPr/>
              <w:t>Enron International Argentina S.A.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Normal"/>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Jose Martinez de Hoz</w:t>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b/>
              </w:rPr>
            </w:pPr>
            <w:r>
              <w:rPr/>
              <w:t>Our producers reprogrammed gas volumes during the operating day and we then reprogrammed the volumes to Piedra Buena.  The contract provides for penalties if we reprogram during the operating day.  Claimed damages are slightly more than $300,000.  There appears to have been some miscalculations on the original demands that would reduce the amounts claimed for the May and June reprogrammings.  There is now another claim for an additional $72,800 for an additional two days of reprograming.</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We are sending demand notices to Total and Camuzzi.  We had a mirror clause in the Total contract.  We do not have a mirror clause with Camuzzi.  Demand notice sent out to Total. Notice sent to Camuzzi requesting clarification of system situation on the given days.</w:t>
            </w:r>
            <w:r>
              <w:rPr>
                <w:b/>
              </w:rPr>
              <w:t xml:space="preserve"> The Camuzzi volumes are being handled separately.</w:t>
            </w:r>
          </w:p>
          <w:p>
            <w:pPr>
              <w:pStyle w:val="Header"/>
              <w:tabs>
                <w:tab w:val="clear" w:pos="4320"/>
                <w:tab w:val="clear" w:pos="8640"/>
              </w:tabs>
              <w:rPr>
                <w:b/>
              </w:rPr>
            </w:pPr>
            <w:r>
              <w:rPr>
                <w:b/>
              </w:rPr>
              <w:t>TOTAL has assigned part of its rights and obligations under the MOU to DEMINEX and Pan American. In consideration for Enron accepting such assignment, TOTAL, DEMINEX and Pan American shall absorb amounts owed to Piedra Buena due to Camuzzi reductions.</w:t>
            </w:r>
          </w:p>
        </w:tc>
      </w:tr>
    </w:tbl>
    <w:p>
      <w:pPr>
        <w:pStyle w:val="Normal"/>
        <w:rPr>
          <w:b/>
        </w:rPr>
      </w:pPr>
      <w:r>
        <w:rPr>
          <w:b/>
        </w:rPr>
      </w:r>
    </w:p>
    <w:sectPr>
      <w:footerReference w:type="default" r:id="rId6"/>
      <w:type w:val="nextPage"/>
      <w:pgSz w:orient="landscape" w:w="15840" w:h="122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ntique Oliv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176" w:type="dxa"/>
      <w:jc w:val="start"/>
      <w:tblInd w:w="0" w:type="dxa"/>
      <w:tblLayout w:type="fixed"/>
      <w:tblCellMar>
        <w:top w:w="0" w:type="dxa"/>
        <w:start w:w="108" w:type="dxa"/>
        <w:bottom w:w="0" w:type="dxa"/>
        <w:end w:w="108" w:type="dxa"/>
      </w:tblCellMar>
    </w:tblPr>
    <w:tblGrid>
      <w:gridCol w:w="6588"/>
      <w:gridCol w:w="6588"/>
    </w:tblGrid>
    <w:tr>
      <w:trPr/>
      <w:tc>
        <w:tcPr>
          <w:tcW w:w="6588" w:type="dxa"/>
          <w:tcBorders/>
        </w:tcPr>
        <w:p>
          <w:pPr>
            <w:pStyle w:val="Footer"/>
            <w:rPr>
              <w:rStyle w:val="PageNumber"/>
            </w:rPr>
          </w:pPr>
          <w:r>
            <w:rPr>
              <w:i/>
            </w:rPr>
            <w:t xml:space="preserve">Page </w:t>
          </w:r>
          <w:r>
            <w:rPr>
              <w:rStyle w:val="PageNumber"/>
              <w:i/>
            </w:rPr>
            <w:fldChar w:fldCharType="begin"/>
          </w:r>
          <w:r>
            <w:rPr>
              <w:rStyle w:val="PageNumber"/>
              <w:i/>
            </w:rPr>
            <w:instrText xml:space="preserve"> PAGE </w:instrText>
          </w:r>
          <w:r>
            <w:rPr>
              <w:rStyle w:val="PageNumber"/>
              <w:i/>
            </w:rPr>
            <w:fldChar w:fldCharType="separate"/>
          </w:r>
          <w:r>
            <w:rPr>
              <w:rStyle w:val="PageNumber"/>
              <w:i/>
            </w:rPr>
            <w:t>6</w:t>
          </w:r>
          <w:r>
            <w:rPr>
              <w:rStyle w:val="PageNumber"/>
              <w:i/>
            </w:rPr>
            <w:fldChar w:fldCharType="end"/>
          </w:r>
          <w:r>
            <w:rPr>
              <w:rStyle w:val="PageNumber"/>
              <w:i/>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6</w:t>
          </w:r>
          <w:r>
            <w:rPr>
              <w:rStyle w:val="PageNumber"/>
            </w:rPr>
            <w:fldChar w:fldCharType="end"/>
          </w:r>
        </w:p>
        <w:p>
          <w:pPr>
            <w:pStyle w:val="Footer"/>
            <w:rPr>
              <w:rStyle w:val="PageNumber"/>
            </w:rPr>
          </w:pPr>
          <w:r>
            <w:rPr/>
          </w:r>
        </w:p>
        <w:p>
          <w:pPr>
            <w:pStyle w:val="Footer"/>
            <w:rPr>
              <w:i/>
              <w:i/>
              <w:sz w:val="12"/>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/mnt/main-storage/datasets/enron-docs/doc/BAProjects22.doc</w:t>
          </w:r>
          <w:r>
            <w:rPr>
              <w:rStyle w:val="PageNumber"/>
              <w:sz w:val="12"/>
              <w:lang w:eastAsia="en-US"/>
            </w:rPr>
            <w:fldChar w:fldCharType="end"/>
          </w:r>
        </w:p>
      </w:tc>
      <w:tc>
        <w:tcPr>
          <w:tcW w:w="6588" w:type="dxa"/>
          <w:tcBorders/>
        </w:tcPr>
        <w:p>
          <w:pPr>
            <w:pStyle w:val="Footer"/>
            <w:jc w:val="end"/>
            <w:rPr>
              <w:i/>
              <w:i/>
            </w:rPr>
          </w:pPr>
          <w:r>
            <w:rPr>
              <w:i/>
            </w:rPr>
            <w:t>CONFIDENTIAL &amp; PROPRIETARY  – ATTORNEY WORK PRODUCT</w:t>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color w:val="000000"/>
      <w:sz w:val="28"/>
    </w:rPr>
  </w:style>
  <w:style w:type="paragraph" w:styleId="Heading3">
    <w:name w:val="heading 3"/>
    <w:basedOn w:val="Normal"/>
    <w:next w:val="Normal"/>
    <w:qFormat/>
    <w:pPr>
      <w:keepNext w:val="true"/>
      <w:numPr>
        <w:ilvl w:val="2"/>
        <w:numId w:val="1"/>
      </w:numPr>
      <w:jc w:val="center"/>
      <w:outlineLvl w:val="2"/>
    </w:pPr>
    <w:rPr>
      <w:b/>
      <w:color w:val="00000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1999-09-27T19:36:00Z</dcterms:created>
  <dc:creator>dlangela</dc:creator>
  <dc:description/>
  <dc:language>en-CA</dc:language>
  <cp:lastModifiedBy>ENRON</cp:lastModifiedBy>
  <cp:lastPrinted>1999-10-19T17:26:00Z</cp:lastPrinted>
  <dcterms:modified xsi:type="dcterms:W3CDTF">1999-10-19T18:19:00Z</dcterms:modified>
  <cp:revision>8</cp:revision>
  <dc:subject/>
  <dc:title> </dc:title>
</cp:coreProperties>
</file>