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506"/>
        <w:gridCol w:w="753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39991056" r:id="rId2"/>
              </w:object>
            </w:r>
          </w:p>
        </w:tc>
        <w:tc>
          <w:tcPr>
            <w:tcW w:w="12347"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r>
      <w:tr>
        <w:trPr/>
        <w:tc>
          <w:tcPr>
            <w:tcW w:w="13175" w:type="dxa"/>
            <w:gridSpan w:val="6"/>
            <w:tcBorders/>
            <w:shd w:fill="FFFFFF" w:val="clear"/>
          </w:tcPr>
          <w:p>
            <w:pPr>
              <w:pStyle w:val="Heading2"/>
              <w:ind w:hanging="0" w:start="0"/>
              <w:rPr/>
            </w:pPr>
            <w:r>
              <w:rPr/>
              <w:t>PROJECTS</w:t>
            </w:r>
          </w:p>
        </w:tc>
      </w:tr>
      <w:tr>
        <w:trPr/>
        <w:tc>
          <w:tcPr>
            <w:tcW w:w="13175" w:type="dxa"/>
            <w:gridSpan w:val="6"/>
            <w:tcBorders/>
            <w:shd w:fill="FFFFFF" w:val="clear"/>
          </w:tcPr>
          <w:p>
            <w:pPr>
              <w:pStyle w:val="Normal"/>
              <w:jc w:val="center"/>
              <w:rPr>
                <w:color w:val="000000"/>
              </w:rPr>
            </w:pPr>
            <w:r>
              <w:rPr>
                <w:color w:val="000000"/>
              </w:rPr>
              <w:t>BA TRADING</w:t>
            </w:r>
          </w:p>
        </w:tc>
      </w:tr>
      <w:tr>
        <w:trPr/>
        <w:tc>
          <w:tcPr>
            <w:tcW w:w="13175" w:type="dxa"/>
            <w:gridSpan w:val="6"/>
            <w:tcBorders/>
            <w:shd w:fill="FFFFFF" w:val="clear"/>
          </w:tcPr>
          <w:p>
            <w:pPr>
              <w:pStyle w:val="Normal"/>
              <w:jc w:val="center"/>
              <w:rPr>
                <w:color w:val="000000"/>
              </w:rPr>
            </w:pPr>
            <w:r>
              <w:rPr>
                <w:color w:val="000000"/>
              </w:rPr>
              <w:t xml:space="preserve">As of August 23, 1999 </w:t>
            </w:r>
          </w:p>
        </w:tc>
      </w:tr>
      <w:tr>
        <w:trPr/>
        <w:tc>
          <w:tcPr>
            <w:tcW w:w="13175" w:type="dxa"/>
            <w:gridSpan w:val="6"/>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753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Neuquen request for additional stamp taxes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Rosen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We are preparing response that will point out that we already paid the stamp tax on the seven transactions they said we owed stamp taxes for.  </w:t>
            </w:r>
            <w:r>
              <w:rPr>
                <w:b/>
              </w:rPr>
              <w:t>Response sent.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Quintana one year gas purchase offer</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Received comments from cp. </w:t>
            </w:r>
            <w:r>
              <w:rPr>
                <w:b/>
              </w:rPr>
              <w:t xml:space="preserve"> Sent final comments for cp to review.  Cp approved nour wording.</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Quintana short term gas purchase offer</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Received comments from cp.  </w:t>
            </w:r>
            <w:r>
              <w:rPr>
                <w:b/>
              </w:rPr>
              <w:t xml:space="preserve"> Sent Offer.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MOU for spot sales of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Sent to cp for review.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10 year gas Termsheet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being prepared to be sent to cp for review.</w:t>
            </w:r>
            <w:r>
              <w:rPr>
                <w:b/>
              </w:rPr>
              <w:t xml:space="preserve">  Termsheet sent to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Renault gas termsheet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sent to cp for review.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Total MOU for spot trades in Austral Basin</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Sent mark-up of MOU to cp for review.  </w:t>
            </w:r>
            <w:r>
              <w:rPr>
                <w:b/>
              </w:rPr>
              <w:t>Cp sent comments back to Gaby.</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Aluar Gas Sales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Proposed 5 year deal with imbedded aluminum swap being negotiated.  Deal is in early stage of development. </w:t>
            </w:r>
            <w:r>
              <w:rPr>
                <w:b/>
              </w:rPr>
              <w:t xml:space="preserve"> Deal on hold.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Atanor Gas Sales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Draft contract being prepared for cp.  </w:t>
            </w:r>
            <w:r>
              <w:rPr>
                <w:b/>
              </w:rPr>
              <w:t>Deal on hold.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ENARGAS Request for Documents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requesting a copy of transportation contract TI-54 and a list of all contracts.  We have provided TI-54 and have requested an extension to Wednesday to provide the list.  List sent to ENARGAS. </w:t>
            </w:r>
            <w:r>
              <w:rPr>
                <w:b/>
              </w:rPr>
              <w:t xml:space="preserve"> </w:t>
            </w:r>
            <w:r>
              <w:rPr/>
              <w:t>ENARGAS now requesting copies of contracts it has not previously received, due Wednesday.</w:t>
            </w:r>
            <w:r>
              <w:rPr>
                <w:b/>
              </w:rPr>
              <w:t xml:space="preserve">  Documents sent.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Extension of PDA power supply contract for EMA volumes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Deal on hold.  May consider another generator for the volumes.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Extension of EMA power sales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Prepared document to extend contract for six more months.  Will work with commercial team on documentation for supply.</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Return of S. Porters Apartment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Apartment returned. Public Notary involved. July payment still being discussed. </w:t>
            </w:r>
            <w:r>
              <w:rPr>
                <w:b/>
              </w:rPr>
              <w:t xml:space="preserve"> Andrea also trying to get deposits back for Bill Butler’s apartment.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Broker Agreements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are working on drafting a Broker agreement form for both the Buyer and Seller.  Agent will agree to extensive performance obligations to both Buyer and Seller.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Y2K Project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Trying to coordinate with Julie Ramos and Mitch Robinson on the BA office Y2K plan.  First meeting is scheduled for Friday to discuss mission critical issues controlled by third parties.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Capacity Extension Procedures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Jeff Kabel</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Working on draft of outline of procedures for requesting authorization for physical bypasses.  </w:t>
            </w:r>
            <w:r>
              <w:rPr>
                <w:b/>
              </w:rPr>
              <w:t>Draft completed.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Refeneria San Lorenzo Power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P. Acevedo</w:t>
            </w:r>
          </w:p>
          <w:p>
            <w:pPr>
              <w:pStyle w:val="Normal"/>
              <w:rPr/>
            </w:pPr>
            <w:r>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Filed at CAMMESA.  Counterparty has significant comments which must be negotiated prior to contract effective date.  We sent new draft to counterparty.  One of the issues under discussion is limitation of liabilities.</w:t>
            </w:r>
            <w:r>
              <w:rPr>
                <w:b/>
              </w:rPr>
              <w:t xml:space="preserve">  </w:t>
            </w:r>
            <w:r>
              <w:rPr/>
              <w:t xml:space="preserve">Responding to cp comments.  Julian to arrange meeting with cp to discuss open issues. </w:t>
            </w:r>
            <w:r>
              <w:rPr>
                <w:b/>
              </w:rPr>
              <w:t xml:space="preserve"> Final offer sent.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YPF Gas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This is a five year deal. </w:t>
            </w:r>
            <w:r>
              <w:rPr>
                <w:b/>
              </w:rPr>
              <w:t xml:space="preserve"> </w:t>
            </w:r>
            <w:r>
              <w:rPr/>
              <w:t>We are negotiating stamp tax document.  YPF has agreed to our changes they are to send the offer letter.</w:t>
            </w:r>
            <w:r>
              <w:rPr>
                <w:b/>
              </w:rPr>
              <w:t xml:space="preserve">  </w:t>
            </w:r>
            <w:r>
              <w:rPr/>
              <w:t>Deal closed.</w:t>
            </w:r>
            <w:r>
              <w:rPr>
                <w:b/>
              </w:rPr>
              <w:t xml:space="preserve">  </w:t>
            </w:r>
            <w:r>
              <w:rPr/>
              <w:t xml:space="preserve">We are negotiating the stamp tax agreement for this deal.  Stamp tax proposal sent to YPF.  Andrea working directly with cp counsel to finalize form. </w:t>
            </w:r>
            <w:r>
              <w:rPr>
                <w:b/>
              </w:rPr>
              <w:t xml:space="preserve"> Format agreed upon.</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Ban </w:t>
            </w:r>
            <w:r>
              <w:rPr>
                <w:b/>
              </w:rPr>
              <w:t xml:space="preserve">and Metro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We requested a distribution contract which was denied.  Andrea to review issues that could be raised if we requested a public hearing (to be discussed with regulatory affairs and commercial team.) </w:t>
            </w:r>
            <w:r>
              <w:rPr>
                <w:b/>
              </w:rPr>
              <w:t xml:space="preserve"> Mike Smith to be included in any decisions or discussions relating to this issue.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Bagley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supposed to have come down in favor of Bagley, we are awaiting confirmation.   Pursuant to informal information received by Guillermo Canovas ENARGAS will issue a resolution in favor of endusers by ordering LDCs to remove reserve charges for interruptible distribution and charge only for distribution. Deal closed. We are currently serving Bagley, even though it does not yet have distribution agreement with Metro. ENARGAS is not taking steps to timely resolve this issue.  Commercial group is looking for ways to push the process forward. </w:t>
            </w:r>
            <w:r>
              <w:rPr>
                <w:b/>
              </w:rPr>
              <w:t>Modification to the original 60 day term specified in the addenda was sent to Cp for execution. Bagley has informed that they are  seriously considering requesting a public hearing  due to Enargas delay in issuing resolution.</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Tax Lobbying in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S. Neal</w:t>
            </w:r>
          </w:p>
          <w:p>
            <w:pPr>
              <w:pStyle w:val="Normal"/>
              <w:rPr/>
            </w:pPr>
            <w:r>
              <w:rPr/>
              <w:t>R. Pensotti</w:t>
            </w:r>
          </w:p>
          <w:p>
            <w:pPr>
              <w:pStyle w:val="Heading1"/>
              <w:ind w:hanging="0" w:start="0"/>
              <w:rPr>
                <w:b w:val="false"/>
              </w:rPr>
            </w:pPr>
            <w:r>
              <w:rPr>
                <w:b w:val="false"/>
              </w:rPr>
              <w:t>C. Bastos</w:t>
            </w:r>
          </w:p>
          <w:p>
            <w:pPr>
              <w:pStyle w:val="Normal"/>
              <w:rPr/>
            </w:pPr>
            <w:r>
              <w:rPr/>
              <w:t>J. Ginty</w:t>
            </w:r>
          </w:p>
          <w:p>
            <w:pPr>
              <w:pStyle w:val="Normal"/>
              <w:rPr/>
            </w:pPr>
            <w:r>
              <w:rPr/>
              <w:t>B. Rosen</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Normal"/>
              <w:rPr>
                <w:b/>
              </w:rPr>
            </w:pPr>
            <w:r>
              <w:rPr/>
              <w:t xml:space="preserve">Meeting with Mr. Lenicov will be April 28 attended by </w:t>
              <w:br/>
              <w:t>Terry Thorn and possible Roberto Pensotti.  Arthur Anderson to meet with Roberto and Guillermo Canovas today.</w:t>
            </w:r>
            <w:r>
              <w:rPr>
                <w:b/>
              </w:rPr>
              <w:t xml:space="preserve"> </w:t>
            </w:r>
            <w:r>
              <w:rPr/>
              <w:t>Outcome of meeting was positive. Lenicov expressed intent of the provinces to come to some resolution of incorporating turnover tax into VAT, although it may take some time. Guillermo Canovas is currently preparing a white paper to submit to the Arbitral Comision in order to request turnover tax  exemption</w:t>
            </w:r>
            <w:r>
              <w:rPr>
                <w:b/>
              </w:rPr>
              <w:t xml:space="preserve">. </w:t>
            </w:r>
            <w:r>
              <w:rPr/>
              <w:t xml:space="preserve"> Enron has filed for Turnover Tax exemption from the province of Buenos Aires. Don wants to stop paying the tax pending the outcome of the application.</w:t>
            </w:r>
            <w:r>
              <w:rPr>
                <w:b/>
              </w:rPr>
              <w:t xml:space="preserve">  </w:t>
            </w:r>
            <w:r>
              <w:rPr/>
              <w:t>Tax has signed off on the proposal, looking into one final issue for Beth.</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Tax Lobbying in Brazil</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S. Neal</w:t>
            </w:r>
          </w:p>
          <w:p>
            <w:pPr>
              <w:pStyle w:val="Normal"/>
              <w:rPr/>
            </w:pPr>
            <w:r>
              <w:rPr/>
              <w:t>R. Waddell</w:t>
            </w:r>
          </w:p>
          <w:p>
            <w:pPr>
              <w:pStyle w:val="Heading1"/>
              <w:ind w:hanging="0" w:start="0"/>
              <w:rPr>
                <w:b w:val="false"/>
              </w:rPr>
            </w:pPr>
            <w:r>
              <w:rPr>
                <w:b w:val="false"/>
              </w:rPr>
              <w:t>C. Bastos</w:t>
            </w:r>
          </w:p>
          <w:p>
            <w:pPr>
              <w:pStyle w:val="Header"/>
              <w:tabs>
                <w:tab w:val="clear" w:pos="4320"/>
                <w:tab w:val="clear" w:pos="8640"/>
              </w:tabs>
              <w:rPr/>
            </w:pPr>
            <w:r>
              <w:rPr/>
              <w:t>J. Ginty</w:t>
            </w:r>
          </w:p>
          <w:p>
            <w:pPr>
              <w:pStyle w:val="Normal"/>
              <w:rPr/>
            </w:pPr>
            <w:r>
              <w:rPr/>
              <w:t>B. Rosen</w:t>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Need to start review process to determine appropriate strategy to lobby on tax issues.  Randy recommends Rachel Novis at Machado Meyer for legal tax help.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Non-Resident Director Tax Issue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Price Waterhouse (Consultants)</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 xml:space="preserve">Working with ECT tax to provide information to Jim Derrick on Tax issues related to being a director in Argentina. </w:t>
            </w:r>
            <w:r>
              <w:rPr>
                <w:b/>
              </w:rPr>
              <w:t xml:space="preserve"> </w:t>
            </w:r>
            <w:r>
              <w:rPr/>
              <w:t>Memorandum has been  prepared by the tax group and sent to Jim Derrick.</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Chauvco Gas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 xml:space="preserve">D. Black </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to talk to Gabriela to determine what we need in terms of documentation. S</w:t>
            </w:r>
            <w:r>
              <w:rPr>
                <w:b/>
              </w:rPr>
              <w:t>pot forms sent to Cp. for review.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Parafina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Schoobridge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Gas, transportation and physical  bypass. In discussions.  </w:t>
            </w:r>
            <w:r>
              <w:rPr>
                <w:b/>
              </w:rPr>
              <w:t>On hold.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Ferrum gas sale contract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Gas, transportation and physical  bypass. In discussions. </w:t>
            </w:r>
            <w:r>
              <w:rPr>
                <w:b/>
              </w:rPr>
              <w:t xml:space="preserve"> Draft Gas Offer being reviewed by John</w:t>
            </w:r>
            <w:r>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ICI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Draft sent to cp for review.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Ferrum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Offer sent to cp.  Received notice from CAMESSA denying administration of the contract because of dispute with Energy Secretary over interpretation of Demanding Marketing volumes.</w:t>
            </w:r>
            <w:r>
              <w:rPr>
                <w:b/>
              </w:rPr>
              <w:t xml:space="preserve">  Negotiations are ongoing on getting a resolution from the Energy Secretary to allow for Marketers to only have to contract 50% of a load curve of a Buyer.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Energy Secretary request for information</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to preparing information regarding request to discuss with commercial team and regulatory affairs.  Information sent.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EPCA</w:t>
            </w:r>
          </w:p>
          <w:p>
            <w:pPr>
              <w:pStyle w:val="Normal"/>
              <w:rPr>
                <w:b/>
              </w:rPr>
            </w:pPr>
            <w:r>
              <w:rPr>
                <w:b/>
              </w:rPr>
              <w:t>Judicial Order</w:t>
            </w:r>
          </w:p>
        </w:tc>
        <w:tc>
          <w:tcPr>
            <w:tcW w:w="1377" w:type="dxa"/>
            <w:tcBorders>
              <w:top w:val="single" w:sz="6" w:space="0" w:color="000000"/>
              <w:start w:val="single" w:sz="6" w:space="0" w:color="000000"/>
              <w:bottom w:val="single" w:sz="6" w:space="0" w:color="000000"/>
              <w:end w:val="single" w:sz="6" w:space="0" w:color="000000"/>
            </w:tcBorders>
          </w:tcPr>
          <w:p>
            <w:pPr>
              <w:pStyle w:val="Header"/>
              <w:numPr>
                <w:ilvl w:val="0"/>
                <w:numId w:val="2"/>
              </w:numPr>
              <w:tabs>
                <w:tab w:val="clear" w:pos="4320"/>
                <w:tab w:val="clear" w:pos="8640"/>
              </w:tabs>
              <w:rPr>
                <w:b/>
              </w:rPr>
            </w:pPr>
            <w:r>
              <w:rPr>
                <w:b/>
              </w:rPr>
              <w:t>Calo</w:t>
            </w:r>
          </w:p>
          <w:p>
            <w:pPr>
              <w:pStyle w:val="Header"/>
              <w:tabs>
                <w:tab w:val="clear" w:pos="4320"/>
                <w:tab w:val="clear" w:pos="8640"/>
              </w:tabs>
              <w:rPr>
                <w:b/>
              </w:rPr>
            </w:pPr>
            <w:r>
              <w:rPr>
                <w:b/>
              </w:rPr>
              <w:t>E. Pavao</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M. 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Judicial order received on 08/18. Claim made by the state tax department demanding  payment of  an apparent  outstanding 1995 income tax debt for US$ 2.500 plus US$ 350 interest . Deadline for payment or filing defense 08/28. M. Murray to see file.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Chinese State Development and Planning Committee  (SDPC) group visit.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 power pool is being created in China .  The SDPC delegation will be in BA next week  and Jane Wilson requested Enron Argentina to host their visit and to schedule meetings for them at CAMMESA and the ENRE . Activities are being coordinated with PSEG.</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Louis Dreyfus Power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 Calo</w:t>
            </w:r>
          </w:p>
          <w:p>
            <w:pPr>
              <w:pStyle w:val="Header"/>
              <w:tabs>
                <w:tab w:val="clear" w:pos="4320"/>
                <w:tab w:val="clear" w:pos="8640"/>
              </w:tabs>
              <w:rPr>
                <w:b/>
              </w:rPr>
            </w:pPr>
            <w:r>
              <w:rPr>
                <w:b/>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P. Acevedo</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Draft offer being prepared with option to imbed swap structure.</w:t>
            </w:r>
          </w:p>
        </w:tc>
      </w:tr>
    </w:tbl>
    <w:p>
      <w:pPr>
        <w:pStyle w:val="Header"/>
        <w:tabs>
          <w:tab w:val="clear" w:pos="4320"/>
          <w:tab w:val="clear" w:pos="8640"/>
        </w:tabs>
        <w:rPr/>
      </w:pPr>
      <w:r>
        <w:br w:type="page"/>
      </w:r>
      <w:r>
        <w:rPr/>
      </w:r>
    </w:p>
    <w:tbl>
      <w:tblPr>
        <w:tblW w:w="13175" w:type="dxa"/>
        <w:jc w:val="start"/>
        <w:tblInd w:w="0" w:type="dxa"/>
        <w:tblLayout w:type="fixed"/>
        <w:tblCellMar>
          <w:top w:w="0" w:type="dxa"/>
          <w:start w:w="108" w:type="dxa"/>
          <w:bottom w:w="0" w:type="dxa"/>
          <w:end w:w="108" w:type="dxa"/>
        </w:tblCellMar>
      </w:tblPr>
      <w:tblGrid>
        <w:gridCol w:w="828"/>
        <w:gridCol w:w="549"/>
        <w:gridCol w:w="7"/>
        <w:gridCol w:w="1370"/>
        <w:gridCol w:w="1377"/>
        <w:gridCol w:w="1377"/>
        <w:gridCol w:w="5220"/>
        <w:gridCol w:w="2447"/>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1464641109" r:id="rId4"/>
              </w:object>
            </w:r>
          </w:p>
        </w:tc>
        <w:tc>
          <w:tcPr>
            <w:tcW w:w="12347" w:type="dxa"/>
            <w:gridSpan w:val="7"/>
            <w:tcBorders/>
          </w:tcPr>
          <w:p>
            <w:pPr>
              <w:pStyle w:val="Normal"/>
              <w:jc w:val="center"/>
              <w:rPr>
                <w:rFonts w:ascii="Antique Olive" w:hAnsi="Antique Olive" w:cs="Antique Olive"/>
                <w:sz w:val="32"/>
              </w:rPr>
            </w:pPr>
            <w:r>
              <w:rPr>
                <w:rFonts w:cs="Antique Olive" w:ascii="Antique Olive" w:hAnsi="Antique Olive"/>
                <w:sz w:val="32"/>
              </w:rPr>
              <w:t>ENRON INTERNATIONAL SOUTHERN CONE</w:t>
            </w:r>
          </w:p>
        </w:tc>
      </w:tr>
      <w:tr>
        <w:trPr/>
        <w:tc>
          <w:tcPr>
            <w:tcW w:w="13175" w:type="dxa"/>
            <w:gridSpan w:val="8"/>
            <w:tcBorders/>
            <w:shd w:fill="FFFFFF" w:val="clear"/>
          </w:tcPr>
          <w:p>
            <w:pPr>
              <w:pStyle w:val="Heading2"/>
              <w:ind w:hanging="0" w:start="0"/>
              <w:rPr/>
            </w:pPr>
            <w:r>
              <w:rPr/>
              <w:t>CLAIMS/LITIGATION/REGULATORY</w:t>
            </w:r>
          </w:p>
        </w:tc>
      </w:tr>
      <w:tr>
        <w:trPr/>
        <w:tc>
          <w:tcPr>
            <w:tcW w:w="13175" w:type="dxa"/>
            <w:gridSpan w:val="8"/>
            <w:tcBorders/>
            <w:shd w:fill="FFFFFF" w:val="clear"/>
          </w:tcPr>
          <w:p>
            <w:pPr>
              <w:pStyle w:val="Normal"/>
              <w:jc w:val="center"/>
              <w:rPr>
                <w:b/>
                <w:color w:val="000000"/>
              </w:rPr>
            </w:pPr>
            <w:r>
              <w:rPr>
                <w:b/>
                <w:color w:val="000000"/>
              </w:rPr>
              <w:t>BA Trading</w:t>
            </w:r>
          </w:p>
        </w:tc>
      </w:tr>
      <w:tr>
        <w:trPr/>
        <w:tc>
          <w:tcPr>
            <w:tcW w:w="13175" w:type="dxa"/>
            <w:gridSpan w:val="8"/>
            <w:tcBorders/>
            <w:shd w:fill="FFFFFF" w:val="clear"/>
          </w:tcPr>
          <w:p>
            <w:pPr>
              <w:pStyle w:val="Normal"/>
              <w:jc w:val="center"/>
              <w:rPr>
                <w:color w:val="000000"/>
              </w:rPr>
            </w:pPr>
            <w:r>
              <w:rPr>
                <w:color w:val="000000"/>
              </w:rPr>
              <w:t xml:space="preserve">As of August 23, 1999 </w:t>
            </w:r>
          </w:p>
        </w:tc>
      </w:tr>
      <w:tr>
        <w:trPr/>
        <w:tc>
          <w:tcPr>
            <w:tcW w:w="13175" w:type="dxa"/>
            <w:gridSpan w:val="8"/>
            <w:tcBorders/>
            <w:shd w:fill="FFFFFF" w:val="clear"/>
          </w:tcPr>
          <w:p>
            <w:pPr>
              <w:pStyle w:val="Normal"/>
              <w:snapToGrid w:val="false"/>
              <w:rPr>
                <w:color w:val="000000"/>
              </w:rPr>
            </w:pPr>
            <w:r>
              <w:rPr>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Companies</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522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2447"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Response to ENARGAS order to unbundle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 xml:space="preserve">J. Wilson </w:t>
            </w:r>
          </w:p>
          <w:p>
            <w:pPr>
              <w:pStyle w:val="Normal"/>
              <w:rPr/>
            </w:pPr>
            <w:r>
              <w:rPr/>
              <w:t>M. Smith</w:t>
            </w:r>
          </w:p>
          <w:p>
            <w:pPr>
              <w:pStyle w:val="Normal"/>
              <w:rPr/>
            </w:pPr>
            <w:r>
              <w:rPr/>
              <w:t>R. Pensotti</w:t>
            </w:r>
          </w:p>
          <w:p>
            <w:pPr>
              <w:pStyle w:val="Normal"/>
              <w:rPr/>
            </w:pPr>
            <w:r>
              <w:rPr/>
              <w:t>G. Canovas</w:t>
            </w:r>
          </w:p>
          <w:p>
            <w:pPr>
              <w:pStyle w:val="Normal"/>
              <w:rPr/>
            </w:pPr>
            <w:r>
              <w:rPr/>
              <w:t xml:space="preserve">A. Calo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Nestor Martinez (Consultant)</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ENARGAS ordered Enron to describe its contacts as Interruptible and unbundle the prices.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Responded to Order. Jane and Bob Williams are looking into BIT issues. We have filed amendments to the contracts with Buyatti, Vandenfil and Molinos.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Neuquen Tax Assessment</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TGS and Enron Pipeline Company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Williams</w:t>
            </w:r>
          </w:p>
          <w:p>
            <w:pPr>
              <w:pStyle w:val="Normal"/>
              <w:rPr/>
            </w:pPr>
            <w:r>
              <w:rPr/>
              <w:t>R. George</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Outside Consultant used by TGS</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Province of Neuquen has levied a stamp tax on the Technical Services Agreement between TGS and EPCA.</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Enron and TGS have filed a response to the assessment.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Tax Assessment Notices</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and all its counterparts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Rosen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has been approached by several Provinces claiming stamp taxes on its transportation contracts.  No counterpart (including Enron) has been served on these contracts.  However, TGN has provided notice to its counterparts because if found liable it will seek to split the liability.</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is currently fighting the assessments.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Santa Cruz Tax Verification Notice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p>
            <w:pPr>
              <w:pStyle w:val="Normal"/>
              <w:rPr/>
            </w:pPr>
            <w:r>
              <w:rPr/>
              <w:t>N. Muchmore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We’ve received a request for documentation. Tax people are working with Nancy Muchmore to determine an accurate response.</w:t>
            </w:r>
            <w:r>
              <w:rPr>
                <w:b/>
              </w:rPr>
              <w:t xml:space="preserve"> </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Audit took place.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Auto Accident involving company car</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Insurance Company Attorney</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As a result of a small accident involving one of Enron’s company cars the driver of the other car sent an initial demand for damages of $3,500 pesos made directly to the driver of the car and to EIASA.  The claimant was notified that all claims involving the insured vehicle had to be filed with the Insurance company.  Claimant has sent a demand to EIASA for mediation to take place on July 16.</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The insurance company will provide counsel to Enron.</w:t>
            </w:r>
            <w:r>
              <w:rPr>
                <w:b/>
              </w:rPr>
              <w:t xml:space="preserve">  </w:t>
            </w:r>
            <w:r>
              <w:rPr/>
              <w:t>Insurance company made offer which was not accepted.  Next meeting on August 13.</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Contractual claim by Piedra Buena for penalty for reprogramming</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Our producers reprogrammed gas volumes during the operating day and we then reprogrammed the volumes to Piedra Buena.  The contract provides for penalties if we reprogram during the operating day.  Claimed damages are slightly more than $300,000.  </w:t>
            </w:r>
            <w:r>
              <w:rPr>
                <w:b/>
              </w:rPr>
              <w:t>There appears to have been some miscalculations on the original demands that would reduce the amounts claimed for the May and June reprogrammings.  There is now another claim for an additional $72,800 for an additional two days of reprograming.</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We are sending demand notices to Total and Camuzzi.  We had a mirror clause in the Total contract.  We do not have a mirror clause with Camuzzi.  </w:t>
            </w:r>
            <w:r>
              <w:rPr>
                <w:b/>
              </w:rPr>
              <w:t>Demand notice sent out to Total. Notice sent to Camuzzi requesting clarification of system situation on the given days.</w:t>
            </w:r>
          </w:p>
        </w:tc>
      </w:tr>
    </w:tbl>
    <w:p>
      <w:pPr>
        <w:pStyle w:val="Normal"/>
        <w:rPr>
          <w:b/>
        </w:rPr>
      </w:pPr>
      <w:r>
        <w:rPr>
          <w:b/>
        </w:rPr>
      </w:r>
    </w:p>
    <w:sectPr>
      <w:footerReference w:type="default" r:id="rId6"/>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6</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/mnt/main-storage/datasets/enron-docs/doc/BAProjects19.doc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Fuentedeprrafopredeter">
    <w:name w:val="Fuente de párrafo predeter."/>
    <w:qFormat/>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1999-08-23T15:43:00Z</dcterms:created>
  <dc:creator>dlangela</dc:creator>
  <dc:description/>
  <dc:language>en-CA</dc:language>
  <cp:lastModifiedBy>xx</cp:lastModifiedBy>
  <cp:lastPrinted>1999-08-23T14:06:00Z</cp:lastPrinted>
  <dcterms:modified xsi:type="dcterms:W3CDTF">1999-08-23T15:43:00Z</dcterms:modified>
  <cp:revision>2</cp:revision>
  <dc:subject/>
  <dc:title> </dc:title>
</cp:coreProperties>
</file>