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jpeg" ContentType="image/jpeg"/>
  <Override PartName="/word/media/image5.jpeg" ContentType="image/jpeg"/>
  <Override PartName="/word/media/image6.jpeg" ContentType="image/jpeg"/>
  <Override PartName="/word/embeddings/oleObject13.bin" ContentType="application/vnd.openxmlformats-officedocument.oleObject"/>
  <Override PartName="/word/embeddings/oleObject12.bin" ContentType="application/vnd.openxmlformats-officedocument.oleObject"/>
  <Override PartName="/word/embeddings/oleObject11.bin" ContentType="application/vnd.openxmlformats-officedocument.oleObject"/>
  <Override PartName="/word/embeddings/oleObject10.bin" ContentType="application/vnd.openxmlformats-officedocument.oleObject"/>
  <Override PartName="/word/embeddings/oleObject9.bin" ContentType="application/vnd.openxmlformats-officedocument.oleObject"/>
  <Override PartName="/word/embeddings/oleObject18.bin" ContentType="application/vnd.openxmlformats-officedocument.oleObject"/>
  <Override PartName="/word/embeddings/oleObject5.bin" ContentType="application/vnd.openxmlformats-officedocument.oleObject"/>
  <Override PartName="/word/embeddings/oleObject17.bin" ContentType="application/vnd.openxmlformats-officedocument.oleObject"/>
  <Override PartName="/word/embeddings/oleObject4.bin" ContentType="application/vnd.openxmlformats-officedocument.oleObject"/>
  <Override PartName="/word/embeddings/oleObject16.bin" ContentType="application/vnd.openxmlformats-officedocument.oleObject"/>
  <Override PartName="/word/embeddings/oleObject3.bin" ContentType="application/vnd.openxmlformats-officedocument.oleObject"/>
  <Override PartName="/word/embeddings/oleObject15.bin" ContentType="application/vnd.openxmlformats-officedocument.oleObject"/>
  <Override PartName="/word/embeddings/oleObject2.bin" ContentType="application/vnd.openxmlformats-officedocument.oleObject"/>
  <Override PartName="/word/embeddings/oleObject14.bin" ContentType="application/vnd.openxmlformats-officedocument.oleObject"/>
  <Override PartName="/word/embeddings/oleObject1.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3009900" cy="1104900"/>
            <wp:effectExtent l="0" t="0" r="0" b="0"/>
            <wp:docPr id="1" name="home_r3_c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_r3_c1" descr="" title=""/>
                    <pic:cNvPicPr>
                      <a:picLocks noChangeAspect="1" noChangeArrowheads="1"/>
                    </pic:cNvPicPr>
                  </pic:nvPicPr>
                  <pic:blipFill>
                    <a:blip r:embed="rId2"/>
                    <a:srcRect l="-12" t="-33" r="-12" b="-33"/>
                    <a:stretch>
                      <a:fillRect/>
                    </a:stretch>
                  </pic:blipFill>
                  <pic:spPr bwMode="auto">
                    <a:xfrm>
                      <a:off x="0" y="0"/>
                      <a:ext cx="3009900" cy="1104900"/>
                    </a:xfrm>
                    <a:prstGeom prst="rect">
                      <a:avLst/>
                    </a:prstGeom>
                    <a:noFill/>
                  </pic:spPr>
                </pic:pic>
              </a:graphicData>
            </a:graphic>
          </wp:inline>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36"/>
        </w:rPr>
      </w:pPr>
      <w:r>
        <w:rPr>
          <w:sz w:val="36"/>
        </w:rPr>
      </w:r>
    </w:p>
    <w:p>
      <w:pPr>
        <w:pStyle w:val="Normal"/>
        <w:jc w:val="center"/>
        <w:rPr>
          <w:rFonts w:ascii="Arial" w:hAnsi="Arial" w:cs="Arial"/>
          <w:b/>
          <w:bCs/>
          <w:sz w:val="36"/>
        </w:rPr>
      </w:pPr>
      <w:r>
        <w:rPr>
          <w:rFonts w:cs="Arial" w:ascii="Arial" w:hAnsi="Arial"/>
          <w:b/>
          <w:bCs/>
          <w:sz w:val="36"/>
        </w:rPr>
        <w:t>Market Requirements Document (MRD)</w:t>
      </w:r>
    </w:p>
    <w:p>
      <w:pPr>
        <w:pStyle w:val="Heading3"/>
        <w:ind w:hanging="0" w:start="0"/>
        <w:rPr/>
      </w:pPr>
      <w:r>
        <w:rPr/>
        <w:t>Business-to-Business Initiatives</w:t>
      </w:r>
    </w:p>
    <w:p>
      <w:pPr>
        <w:pStyle w:val="Heading3"/>
        <w:ind w:hanging="0" w:start="0"/>
        <w:rPr/>
      </w:pPr>
      <w:r>
        <w:rPr/>
        <w:t>Draft 2</w:t>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Normal"/>
        <w:jc w:val="center"/>
        <w:rPr>
          <w:rFonts w:ascii="Arial" w:hAnsi="Arial" w:cs="Arial"/>
          <w:b/>
          <w:bCs/>
          <w:sz w:val="36"/>
        </w:rPr>
      </w:pPr>
      <w:r>
        <w:rPr>
          <w:rFonts w:cs="Arial" w:ascii="Arial" w:hAnsi="Arial"/>
          <w:b/>
          <w:bCs/>
          <w:sz w:val="36"/>
        </w:rPr>
      </w:r>
    </w:p>
    <w:p>
      <w:pPr>
        <w:pStyle w:val="Heading1"/>
        <w:ind w:hanging="0" w:start="0"/>
        <w:rPr/>
      </w:pPr>
      <w:r>
        <w:rPr/>
        <w:t>Prepared by Louis-Philippe Lalonde</w:t>
      </w:r>
    </w:p>
    <w:p>
      <w:pPr>
        <w:pStyle w:val="Normal"/>
        <w:rPr/>
      </w:pPr>
      <w:r>
        <w:rPr/>
      </w:r>
    </w:p>
    <w:p>
      <w:pPr>
        <w:pStyle w:val="Heading1"/>
        <w:ind w:hanging="0" w:start="0"/>
        <w:rPr/>
      </w:pPr>
      <w:r>
        <w:rPr/>
        <w:t>Presented to Mr. Kevin Surace, CEO</w:t>
      </w:r>
    </w:p>
    <w:p>
      <w:pPr>
        <w:pStyle w:val="Heading2"/>
        <w:ind w:hanging="0" w:start="2160" w:end="0"/>
        <w:jc w:val="start"/>
        <w:rPr>
          <w:b/>
          <w:bCs/>
        </w:rPr>
      </w:pPr>
      <w:r>
        <w:rPr>
          <w:rFonts w:eastAsia="Arial"/>
          <w:b/>
          <w:bCs/>
        </w:rPr>
        <w:t xml:space="preserve">  </w:t>
      </w:r>
      <w:r>
        <w:rPr>
          <w:b/>
          <w:bCs/>
        </w:rPr>
        <w:t>and Mr. Marc Porat, Chairman</w:t>
      </w:r>
    </w:p>
    <w:p>
      <w:pPr>
        <w:pStyle w:val="Normal"/>
        <w:rPr>
          <w:b/>
          <w:bCs/>
        </w:rPr>
      </w:pPr>
      <w:r>
        <w:rPr>
          <w:b/>
          <w:bCs/>
        </w:rPr>
      </w:r>
    </w:p>
    <w:p>
      <w:pPr>
        <w:pStyle w:val="Heading1"/>
        <w:ind w:firstLine="720" w:start="1440" w:end="0"/>
        <w:jc w:val="start"/>
        <w:rPr/>
      </w:pPr>
      <w:r>
        <w:rPr>
          <w:rFonts w:eastAsia="Arial"/>
        </w:rPr>
        <w:t xml:space="preserve">  </w:t>
      </w:r>
      <w:r>
        <w:rPr/>
        <w:t>On Wednesday, February 2, 2000</w:t>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Confidential</w:t>
      </w:r>
      <w:r>
        <w:br w:type="page"/>
      </w:r>
    </w:p>
    <w:p>
      <w:pPr>
        <w:pStyle w:val="Heading2"/>
        <w:ind w:hanging="0" w:start="0"/>
        <w:jc w:val="start"/>
        <w:rPr>
          <w:b/>
          <w:bCs/>
          <w:sz w:val="36"/>
        </w:rPr>
      </w:pPr>
      <w:r>
        <w:rPr>
          <w:b/>
          <w:bCs/>
          <w:sz w:val="36"/>
        </w:rPr>
        <w:t>TABLE OF CONTENTS</w:t>
      </w:r>
    </w:p>
    <w:p>
      <w:pPr>
        <w:pStyle w:val="BodyText2"/>
        <w:rPr>
          <w:b w:val="false"/>
          <w:bCs w:val="false"/>
        </w:rPr>
      </w:pPr>
      <w:r>
        <w:rPr>
          <w:b w:val="false"/>
          <w:bCs w:val="false"/>
        </w:rPr>
        <w:t>___________________________________________</w:t>
      </w:r>
    </w:p>
    <w:p>
      <w:pPr>
        <w:pStyle w:val="FootnoteText"/>
        <w:rPr/>
      </w:pPr>
      <w:r>
        <w:rPr/>
      </w:r>
    </w:p>
    <w:p>
      <w:pPr>
        <w:pStyle w:val="Normal"/>
        <w:rPr/>
      </w:pPr>
      <w:r>
        <w:rPr/>
      </w:r>
    </w:p>
    <w:p>
      <w:pPr>
        <w:pStyle w:val="Normal"/>
        <w:rPr/>
      </w:pPr>
      <w:r>
        <w:rPr/>
      </w:r>
    </w:p>
    <w:p>
      <w:pPr>
        <w:pStyle w:val="Normal"/>
        <w:spacing w:lineRule="auto" w:line="360"/>
        <w:rPr>
          <w:rFonts w:ascii="Arial" w:hAnsi="Arial" w:cs="Arial"/>
          <w:b/>
          <w:bCs/>
          <w:sz w:val="24"/>
        </w:rPr>
      </w:pPr>
      <w:r>
        <w:rPr>
          <w:rFonts w:cs="Arial" w:ascii="Arial" w:hAnsi="Arial"/>
          <w:b/>
          <w:bCs/>
          <w:sz w:val="24"/>
        </w:rPr>
        <w:t>INTRODUCTION……….………………………………………………………………4</w:t>
      </w:r>
    </w:p>
    <w:p>
      <w:pPr>
        <w:pStyle w:val="Normal"/>
        <w:spacing w:lineRule="auto" w:line="360"/>
        <w:ind w:firstLine="720" w:end="0"/>
        <w:rPr>
          <w:rFonts w:ascii="Arial" w:hAnsi="Arial" w:cs="Arial"/>
          <w:sz w:val="24"/>
        </w:rPr>
      </w:pPr>
      <w:r>
        <w:rPr>
          <w:rFonts w:cs="Arial" w:ascii="Arial" w:hAnsi="Arial"/>
          <w:sz w:val="24"/>
        </w:rPr>
        <w:t>Purpose………………………………………………………………………….4</w:t>
      </w:r>
    </w:p>
    <w:p>
      <w:pPr>
        <w:pStyle w:val="Heading6"/>
        <w:rPr/>
      </w:pPr>
      <w:r>
        <w:rPr/>
        <w:t>Audience…………………………………………………………………………4</w:t>
      </w:r>
    </w:p>
    <w:p>
      <w:pPr>
        <w:pStyle w:val="Normal"/>
        <w:spacing w:lineRule="auto" w:line="360"/>
        <w:ind w:firstLine="720" w:end="0"/>
        <w:rPr>
          <w:rFonts w:ascii="Arial" w:hAnsi="Arial" w:cs="Arial"/>
          <w:sz w:val="24"/>
        </w:rPr>
      </w:pPr>
      <w:r>
        <w:rPr>
          <w:rFonts w:cs="Arial" w:ascii="Arial" w:hAnsi="Arial"/>
          <w:sz w:val="24"/>
        </w:rPr>
        <w:t>Document Structure…………………………………………………………….4</w:t>
      </w:r>
    </w:p>
    <w:p>
      <w:pPr>
        <w:pStyle w:val="Normal"/>
        <w:spacing w:lineRule="auto" w:line="360"/>
        <w:ind w:firstLine="720" w:end="0"/>
        <w:rPr>
          <w:rFonts w:ascii="Arial" w:hAnsi="Arial" w:cs="Arial"/>
          <w:sz w:val="24"/>
        </w:rPr>
      </w:pPr>
      <w:r>
        <w:rPr>
          <w:rFonts w:cs="Arial" w:ascii="Arial" w:hAnsi="Arial"/>
          <w:sz w:val="24"/>
        </w:rPr>
        <w:t>Scope of Document…………………………………………………………….4</w:t>
      </w:r>
    </w:p>
    <w:p>
      <w:pPr>
        <w:pStyle w:val="Normal"/>
        <w:spacing w:lineRule="auto" w:line="360"/>
        <w:ind w:firstLine="720" w:end="0"/>
        <w:rPr>
          <w:rFonts w:ascii="Arial" w:hAnsi="Arial" w:cs="Arial"/>
          <w:sz w:val="24"/>
        </w:rPr>
      </w:pPr>
      <w:r>
        <w:rPr>
          <w:rFonts w:cs="Arial" w:ascii="Arial" w:hAnsi="Arial"/>
          <w:sz w:val="24"/>
        </w:rPr>
      </w:r>
    </w:p>
    <w:p>
      <w:pPr>
        <w:pStyle w:val="Heading4"/>
        <w:spacing w:lineRule="auto" w:line="360"/>
        <w:ind w:hanging="0" w:start="0"/>
        <w:rPr/>
      </w:pPr>
      <w:r>
        <w:rPr/>
        <w:t>THE B2B MARKETSPACE…………………………………………………………...5</w:t>
      </w:r>
    </w:p>
    <w:p>
      <w:pPr>
        <w:pStyle w:val="TOC1"/>
        <w:spacing w:lineRule="auto" w:line="360" w:before="0" w:after="0"/>
        <w:rPr/>
      </w:pPr>
      <w:r>
        <w:rPr>
          <w:b w:val="false"/>
          <w:bCs w:val="false"/>
          <w:caps w:val="false"/>
          <w:smallCaps w:val="false"/>
          <w:szCs w:val="20"/>
        </w:rPr>
        <w:tab/>
      </w:r>
      <w:r>
        <w:rPr>
          <w:rFonts w:cs="Arial" w:ascii="Arial" w:hAnsi="Arial"/>
          <w:b w:val="false"/>
          <w:bCs w:val="false"/>
          <w:caps w:val="false"/>
          <w:smallCaps w:val="false"/>
          <w:sz w:val="24"/>
          <w:szCs w:val="20"/>
        </w:rPr>
        <w:t>Statistical Bliss…………………………………………………………………..5</w:t>
      </w:r>
    </w:p>
    <w:p>
      <w:pPr>
        <w:pStyle w:val="Normal"/>
        <w:spacing w:lineRule="auto" w:line="360"/>
        <w:rPr/>
      </w:pPr>
      <w:r>
        <w:rPr/>
        <w:tab/>
      </w:r>
      <w:r>
        <w:rPr>
          <w:rFonts w:cs="Arial" w:ascii="Arial" w:hAnsi="Arial"/>
          <w:sz w:val="24"/>
        </w:rPr>
        <w:t>Historical Context……………………………………………………………….6</w:t>
      </w:r>
    </w:p>
    <w:p>
      <w:pPr>
        <w:pStyle w:val="Normal"/>
        <w:spacing w:lineRule="auto" w:line="360"/>
        <w:rPr>
          <w:rFonts w:ascii="Arial" w:hAnsi="Arial" w:cs="Arial"/>
          <w:sz w:val="24"/>
        </w:rPr>
      </w:pPr>
      <w:r>
        <w:rPr>
          <w:rFonts w:cs="Arial" w:ascii="Arial" w:hAnsi="Arial"/>
          <w:sz w:val="24"/>
        </w:rPr>
        <w:tab/>
        <w:t>The Infomediary…………………………………………………………………7</w:t>
      </w:r>
    </w:p>
    <w:p>
      <w:pPr>
        <w:pStyle w:val="Normal"/>
        <w:spacing w:lineRule="auto" w:line="360"/>
        <w:rPr>
          <w:rFonts w:ascii="Arial" w:hAnsi="Arial" w:cs="Arial"/>
          <w:sz w:val="24"/>
        </w:rPr>
      </w:pPr>
      <w:r>
        <w:rPr>
          <w:rFonts w:cs="Arial" w:ascii="Arial" w:hAnsi="Arial"/>
          <w:sz w:val="24"/>
        </w:rPr>
        <w:tab/>
        <w:t>The Customer Brand……………………………………………………………8</w:t>
      </w:r>
    </w:p>
    <w:p>
      <w:pPr>
        <w:pStyle w:val="Normal"/>
        <w:spacing w:lineRule="auto" w:line="360"/>
        <w:rPr>
          <w:rFonts w:ascii="Arial" w:hAnsi="Arial" w:cs="Arial"/>
          <w:sz w:val="24"/>
        </w:rPr>
      </w:pPr>
      <w:r>
        <w:rPr>
          <w:rFonts w:cs="Arial" w:ascii="Arial" w:hAnsi="Arial"/>
          <w:sz w:val="24"/>
        </w:rPr>
        <w:tab/>
        <w:t>The Metamediary……………………………………………………………….8</w:t>
      </w:r>
    </w:p>
    <w:p>
      <w:pPr>
        <w:pStyle w:val="Normal"/>
        <w:spacing w:lineRule="auto" w:line="360"/>
        <w:rPr>
          <w:rFonts w:ascii="Arial" w:hAnsi="Arial" w:cs="Arial"/>
          <w:sz w:val="24"/>
        </w:rPr>
      </w:pPr>
      <w:r>
        <w:rPr>
          <w:rFonts w:cs="Arial" w:ascii="Arial" w:hAnsi="Arial"/>
          <w:sz w:val="24"/>
        </w:rPr>
        <w:tab/>
        <w:t>Disintermediation and Deconstruction………………………………………..9</w:t>
      </w:r>
    </w:p>
    <w:p>
      <w:pPr>
        <w:pStyle w:val="Normal"/>
        <w:spacing w:lineRule="auto" w:line="360"/>
        <w:rPr>
          <w:rFonts w:ascii="Arial" w:hAnsi="Arial" w:cs="Arial"/>
          <w:sz w:val="24"/>
        </w:rPr>
      </w:pPr>
      <w:r>
        <w:rPr>
          <w:rFonts w:cs="Arial" w:ascii="Arial" w:hAnsi="Arial"/>
          <w:sz w:val="24"/>
        </w:rPr>
        <w:tab/>
        <w:t>The Metamarket……………………………………………………………….10</w:t>
      </w:r>
    </w:p>
    <w:p>
      <w:pPr>
        <w:pStyle w:val="Normal"/>
        <w:spacing w:lineRule="auto" w:line="360"/>
        <w:rPr>
          <w:rFonts w:ascii="Arial" w:hAnsi="Arial" w:cs="Arial"/>
          <w:sz w:val="24"/>
        </w:rPr>
      </w:pPr>
      <w:r>
        <w:rPr>
          <w:rFonts w:cs="Arial" w:ascii="Arial" w:hAnsi="Arial"/>
          <w:sz w:val="24"/>
        </w:rPr>
        <w:tab/>
        <w:t>Value Chain Integration……………………………………………………….11</w:t>
      </w:r>
    </w:p>
    <w:p>
      <w:pPr>
        <w:pStyle w:val="Normal"/>
        <w:spacing w:lineRule="auto" w:line="360"/>
        <w:rPr>
          <w:rFonts w:ascii="Arial" w:hAnsi="Arial" w:cs="Arial"/>
          <w:sz w:val="24"/>
        </w:rPr>
      </w:pPr>
      <w:r>
        <w:rPr>
          <w:rFonts w:cs="Arial" w:ascii="Arial" w:hAnsi="Arial"/>
          <w:sz w:val="24"/>
        </w:rPr>
        <w:tab/>
        <w:t>The Emergence of Intelligent Agents………………………………………..12</w:t>
      </w:r>
    </w:p>
    <w:p>
      <w:pPr>
        <w:pStyle w:val="Normal"/>
        <w:spacing w:lineRule="auto" w:line="360"/>
        <w:rPr>
          <w:rFonts w:ascii="Arial" w:hAnsi="Arial" w:cs="Arial"/>
          <w:sz w:val="24"/>
        </w:rPr>
      </w:pPr>
      <w:r>
        <w:rPr>
          <w:rFonts w:cs="Arial" w:ascii="Arial" w:hAnsi="Arial"/>
          <w:sz w:val="24"/>
        </w:rPr>
        <w:tab/>
        <w:t>Dynamic Pricing……………………………………………………………….13.</w:t>
      </w:r>
    </w:p>
    <w:p>
      <w:pPr>
        <w:pStyle w:val="Normal"/>
        <w:spacing w:lineRule="auto" w:line="360"/>
        <w:rPr>
          <w:rFonts w:ascii="Arial" w:hAnsi="Arial" w:cs="Arial"/>
          <w:sz w:val="24"/>
        </w:rPr>
      </w:pPr>
      <w:r>
        <w:rPr>
          <w:rFonts w:cs="Arial" w:ascii="Arial" w:hAnsi="Arial"/>
          <w:sz w:val="24"/>
        </w:rPr>
        <w:tab/>
        <w:t>Trading Mechanisms…………………………………………………………14</w:t>
      </w:r>
    </w:p>
    <w:p>
      <w:pPr>
        <w:pStyle w:val="Normal"/>
        <w:spacing w:lineRule="auto" w:line="360"/>
        <w:rPr>
          <w:rFonts w:ascii="Arial" w:hAnsi="Arial" w:cs="Arial"/>
          <w:sz w:val="24"/>
        </w:rPr>
      </w:pPr>
      <w:r>
        <w:rPr>
          <w:rFonts w:cs="Arial" w:ascii="Arial" w:hAnsi="Arial"/>
          <w:sz w:val="24"/>
        </w:rPr>
        <w:tab/>
        <w:t>Auction Types…………………………………………………………………14</w:t>
      </w:r>
    </w:p>
    <w:p>
      <w:pPr>
        <w:pStyle w:val="Normal"/>
        <w:spacing w:lineRule="auto" w:line="360"/>
        <w:rPr>
          <w:rFonts w:ascii="Arial" w:hAnsi="Arial" w:cs="Arial"/>
          <w:sz w:val="24"/>
        </w:rPr>
      </w:pPr>
      <w:r>
        <w:rPr>
          <w:rFonts w:cs="Arial" w:ascii="Arial" w:hAnsi="Arial"/>
          <w:sz w:val="24"/>
        </w:rPr>
        <w:tab/>
        <w:t>Parties Benefiting from an Auction………………………………………….16</w:t>
      </w:r>
    </w:p>
    <w:p>
      <w:pPr>
        <w:pStyle w:val="Normal"/>
        <w:spacing w:lineRule="auto" w:line="360"/>
        <w:rPr>
          <w:rFonts w:ascii="Arial" w:hAnsi="Arial" w:cs="Arial"/>
          <w:sz w:val="24"/>
        </w:rPr>
      </w:pPr>
      <w:r>
        <w:rPr>
          <w:rFonts w:cs="Arial" w:ascii="Arial" w:hAnsi="Arial"/>
          <w:sz w:val="24"/>
        </w:rPr>
        <w:tab/>
        <w:t>Market Phases…………………………………………………………………16</w:t>
      </w:r>
    </w:p>
    <w:p>
      <w:pPr>
        <w:pStyle w:val="Normal"/>
        <w:spacing w:lineRule="auto" w:line="360"/>
        <w:rPr>
          <w:rFonts w:ascii="Arial" w:hAnsi="Arial" w:cs="Arial"/>
          <w:sz w:val="24"/>
        </w:rPr>
      </w:pPr>
      <w:r>
        <w:rPr>
          <w:rFonts w:cs="Arial" w:ascii="Arial" w:hAnsi="Arial"/>
          <w:sz w:val="24"/>
        </w:rPr>
        <w:tab/>
        <w:t>Characteristics of Markets Requiring Intermediaries………………………17</w:t>
      </w:r>
    </w:p>
    <w:p>
      <w:pPr>
        <w:pStyle w:val="Normal"/>
        <w:spacing w:lineRule="auto" w:line="360"/>
        <w:rPr>
          <w:rFonts w:ascii="Arial" w:hAnsi="Arial" w:cs="Arial"/>
          <w:sz w:val="24"/>
        </w:rPr>
      </w:pPr>
      <w:r>
        <w:rPr>
          <w:rFonts w:cs="Arial" w:ascii="Arial" w:hAnsi="Arial"/>
          <w:sz w:val="24"/>
        </w:rPr>
        <w:tab/>
        <w:t>B2BeC Conducted Through Metamediaries in 2003………………………18</w:t>
      </w:r>
    </w:p>
    <w:p>
      <w:pPr>
        <w:pStyle w:val="Normal"/>
        <w:spacing w:lineRule="auto" w:line="360"/>
        <w:rPr>
          <w:rFonts w:ascii="Arial" w:hAnsi="Arial" w:cs="Arial"/>
          <w:sz w:val="24"/>
        </w:rPr>
      </w:pPr>
      <w:r>
        <w:rPr>
          <w:rFonts w:cs="Arial" w:ascii="Arial" w:hAnsi="Arial"/>
          <w:sz w:val="24"/>
        </w:rPr>
        <w:tab/>
        <w:t>B2BeC by Industry in 2003…………………………………………………...19</w:t>
      </w:r>
    </w:p>
    <w:p>
      <w:pPr>
        <w:pStyle w:val="Normal"/>
        <w:spacing w:lineRule="auto" w:line="360"/>
        <w:rPr>
          <w:rFonts w:ascii="Arial" w:hAnsi="Arial" w:cs="Arial"/>
          <w:sz w:val="24"/>
        </w:rPr>
      </w:pPr>
      <w:r>
        <w:rPr>
          <w:rFonts w:cs="Arial" w:ascii="Arial" w:hAnsi="Arial"/>
          <w:sz w:val="24"/>
        </w:rPr>
        <w:tab/>
        <w:t>Supply Chain Management…………………………………………………..20</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t>THE COMPETITIVE LANDSCAPE AND THE CUSTOMER……………………21</w:t>
      </w:r>
    </w:p>
    <w:p>
      <w:pPr>
        <w:pStyle w:val="Normal"/>
        <w:spacing w:lineRule="auto" w:line="360"/>
        <w:rPr/>
      </w:pPr>
      <w:r>
        <w:rPr>
          <w:rFonts w:cs="Arial" w:ascii="Arial" w:hAnsi="Arial"/>
          <w:b/>
          <w:bCs/>
          <w:sz w:val="24"/>
        </w:rPr>
        <w:tab/>
      </w:r>
      <w:r>
        <w:rPr>
          <w:rFonts w:cs="Arial" w:ascii="Arial" w:hAnsi="Arial"/>
          <w:sz w:val="24"/>
        </w:rPr>
        <w:t>The Competitive Landscape…………………………………………………21</w:t>
      </w:r>
    </w:p>
    <w:p>
      <w:pPr>
        <w:pStyle w:val="Normal"/>
        <w:spacing w:lineRule="auto" w:line="360"/>
        <w:rPr>
          <w:rFonts w:ascii="Arial" w:hAnsi="Arial" w:cs="Arial"/>
          <w:sz w:val="24"/>
        </w:rPr>
      </w:pPr>
      <w:r>
        <w:rPr>
          <w:rFonts w:cs="Arial" w:ascii="Arial" w:hAnsi="Arial"/>
          <w:sz w:val="24"/>
        </w:rPr>
        <w:tab/>
        <w:t>The ASP: No Longer a Theoretical Concept……………………………….22</w:t>
      </w:r>
    </w:p>
    <w:p>
      <w:pPr>
        <w:pStyle w:val="Normal"/>
        <w:spacing w:lineRule="auto" w:line="360"/>
        <w:rPr>
          <w:rFonts w:ascii="Arial" w:hAnsi="Arial" w:cs="Arial"/>
          <w:sz w:val="24"/>
        </w:rPr>
      </w:pPr>
      <w:r>
        <w:rPr>
          <w:rFonts w:cs="Arial" w:ascii="Arial" w:hAnsi="Arial"/>
          <w:sz w:val="24"/>
        </w:rPr>
        <w:tab/>
        <w:t>Trading hubs…………………………………………………………………..23</w:t>
      </w:r>
    </w:p>
    <w:p>
      <w:pPr>
        <w:pStyle w:val="Normal"/>
        <w:spacing w:lineRule="auto" w:line="360"/>
        <w:rPr>
          <w:rFonts w:ascii="Arial" w:hAnsi="Arial" w:cs="Arial"/>
          <w:sz w:val="24"/>
        </w:rPr>
      </w:pPr>
      <w:r>
        <w:rPr>
          <w:rFonts w:cs="Arial" w:ascii="Arial" w:hAnsi="Arial"/>
          <w:sz w:val="24"/>
        </w:rPr>
        <w:tab/>
        <w:t>Keep an Eye on These Players……………………………………………..24</w:t>
      </w:r>
    </w:p>
    <w:p>
      <w:pPr>
        <w:pStyle w:val="Normal"/>
        <w:spacing w:lineRule="auto" w:line="360"/>
        <w:rPr>
          <w:rFonts w:ascii="Arial" w:hAnsi="Arial" w:cs="Arial"/>
          <w:sz w:val="24"/>
        </w:rPr>
      </w:pPr>
      <w:r>
        <w:rPr>
          <w:rFonts w:cs="Arial" w:ascii="Arial" w:hAnsi="Arial"/>
          <w:sz w:val="24"/>
        </w:rPr>
        <w:tab/>
        <w:t>The Customer………………………………………………………………...26</w:t>
      </w:r>
    </w:p>
    <w:p>
      <w:pPr>
        <w:pStyle w:val="Normal"/>
        <w:spacing w:lineRule="auto" w:line="360"/>
        <w:rPr>
          <w:rFonts w:ascii="Arial" w:hAnsi="Arial" w:cs="Arial"/>
          <w:sz w:val="24"/>
        </w:rPr>
      </w:pPr>
      <w:r>
        <w:rPr>
          <w:rFonts w:cs="Arial" w:ascii="Arial" w:hAnsi="Arial"/>
          <w:sz w:val="24"/>
        </w:rPr>
        <w:tab/>
        <w:t>e-Procurement Solutions…………………………………………………….28</w:t>
      </w:r>
    </w:p>
    <w:p>
      <w:pPr>
        <w:pStyle w:val="Normal"/>
        <w:spacing w:lineRule="auto" w:line="360"/>
        <w:rPr>
          <w:rFonts w:ascii="Arial" w:hAnsi="Arial" w:cs="Arial"/>
          <w:sz w:val="24"/>
        </w:rPr>
      </w:pPr>
      <w:r>
        <w:rPr>
          <w:rFonts w:cs="Arial" w:ascii="Arial" w:hAnsi="Arial"/>
          <w:sz w:val="24"/>
        </w:rPr>
        <w:tab/>
        <w:t>e-Procurement Process……………………………………………………...30</w:t>
      </w:r>
    </w:p>
    <w:p>
      <w:pPr>
        <w:pStyle w:val="Normal"/>
        <w:spacing w:lineRule="auto" w:line="360"/>
        <w:rPr>
          <w:rFonts w:ascii="Arial" w:hAnsi="Arial" w:cs="Arial"/>
          <w:sz w:val="24"/>
        </w:rPr>
      </w:pPr>
      <w:r>
        <w:rPr>
          <w:rFonts w:cs="Arial" w:ascii="Arial" w:hAnsi="Arial"/>
          <w:sz w:val="24"/>
        </w:rPr>
        <w:tab/>
        <w:t>SMB Defined…………………………………………………………………..32</w:t>
      </w:r>
    </w:p>
    <w:p>
      <w:pPr>
        <w:pStyle w:val="Normal"/>
        <w:spacing w:lineRule="auto" w:line="360"/>
        <w:rPr>
          <w:rFonts w:ascii="Arial" w:hAnsi="Arial" w:cs="Arial"/>
          <w:sz w:val="24"/>
        </w:rPr>
      </w:pPr>
      <w:r>
        <w:rPr>
          <w:rFonts w:cs="Arial" w:ascii="Arial" w:hAnsi="Arial"/>
          <w:sz w:val="24"/>
        </w:rPr>
        <w:tab/>
      </w:r>
    </w:p>
    <w:p>
      <w:pPr>
        <w:pStyle w:val="Normal"/>
        <w:spacing w:lineRule="auto" w:line="360"/>
        <w:rPr>
          <w:rFonts w:ascii="Arial" w:hAnsi="Arial" w:cs="Arial"/>
          <w:b/>
          <w:bCs/>
          <w:sz w:val="24"/>
        </w:rPr>
      </w:pPr>
      <w:r>
        <w:rPr>
          <w:rFonts w:cs="Arial" w:ascii="Arial" w:hAnsi="Arial"/>
          <w:b/>
          <w:bCs/>
          <w:sz w:val="24"/>
        </w:rPr>
        <w:t>THE B2B VALUE PROPOSITION…………………………………………………34</w:t>
      </w:r>
    </w:p>
    <w:p>
      <w:pPr>
        <w:pStyle w:val="Normal"/>
        <w:spacing w:lineRule="auto" w:line="360"/>
        <w:rPr/>
      </w:pPr>
      <w:r>
        <w:rPr>
          <w:rFonts w:cs="Arial" w:ascii="Arial" w:hAnsi="Arial"/>
          <w:b/>
          <w:bCs/>
          <w:sz w:val="24"/>
        </w:rPr>
        <w:tab/>
      </w:r>
      <w:r>
        <w:rPr>
          <w:rFonts w:cs="Arial" w:ascii="Arial" w:hAnsi="Arial"/>
          <w:sz w:val="24"/>
        </w:rPr>
        <w:t>Time-to-Market……………………………………………………………….34</w:t>
      </w:r>
    </w:p>
    <w:p>
      <w:pPr>
        <w:pStyle w:val="Normal"/>
        <w:spacing w:lineRule="auto" w:line="360"/>
        <w:rPr>
          <w:rFonts w:ascii="Arial" w:hAnsi="Arial" w:cs="Arial"/>
          <w:sz w:val="24"/>
        </w:rPr>
      </w:pPr>
      <w:r>
        <w:rPr>
          <w:rFonts w:cs="Arial" w:ascii="Arial" w:hAnsi="Arial"/>
          <w:sz w:val="24"/>
        </w:rPr>
        <w:tab/>
        <w:t>The Unique Selling Proposition……………………………………………..34</w:t>
      </w:r>
    </w:p>
    <w:p>
      <w:pPr>
        <w:pStyle w:val="Normal"/>
        <w:spacing w:lineRule="auto" w:line="360"/>
        <w:rPr>
          <w:rFonts w:ascii="Arial" w:hAnsi="Arial" w:cs="Arial"/>
          <w:sz w:val="24"/>
        </w:rPr>
      </w:pPr>
      <w:r>
        <w:rPr>
          <w:rFonts w:cs="Arial" w:ascii="Arial" w:hAnsi="Arial"/>
          <w:sz w:val="24"/>
        </w:rPr>
        <w:tab/>
        <w:t>Benefits to the Buyer…………………………………………………………35</w:t>
      </w:r>
    </w:p>
    <w:p>
      <w:pPr>
        <w:pStyle w:val="Normal"/>
        <w:spacing w:lineRule="auto" w:line="360"/>
        <w:rPr>
          <w:rFonts w:ascii="Arial" w:hAnsi="Arial" w:cs="Arial"/>
          <w:sz w:val="24"/>
        </w:rPr>
      </w:pPr>
      <w:r>
        <w:rPr>
          <w:rFonts w:cs="Arial" w:ascii="Arial" w:hAnsi="Arial"/>
          <w:sz w:val="24"/>
        </w:rPr>
        <w:tab/>
        <w:t>Benefits to the Seller…………………………………………………………38</w:t>
      </w:r>
    </w:p>
    <w:p>
      <w:pPr>
        <w:pStyle w:val="Normal"/>
        <w:spacing w:lineRule="auto" w:line="360"/>
        <w:rPr>
          <w:rFonts w:ascii="Arial" w:hAnsi="Arial" w:cs="Arial"/>
          <w:sz w:val="24"/>
        </w:rPr>
      </w:pPr>
      <w:r>
        <w:rPr>
          <w:rFonts w:cs="Arial" w:ascii="Arial" w:hAnsi="Arial"/>
          <w:sz w:val="24"/>
        </w:rPr>
        <w:tab/>
        <w:t>Strategic Positioning…………………………………………………………40</w:t>
      </w:r>
    </w:p>
    <w:p>
      <w:pPr>
        <w:pStyle w:val="Normal"/>
        <w:spacing w:lineRule="auto" w:line="360"/>
        <w:rPr>
          <w:rFonts w:ascii="Arial" w:hAnsi="Arial" w:cs="Arial"/>
          <w:sz w:val="24"/>
        </w:rPr>
      </w:pPr>
      <w:r>
        <w:rPr>
          <w:rFonts w:cs="Arial" w:ascii="Arial" w:hAnsi="Arial"/>
          <w:sz w:val="24"/>
        </w:rPr>
        <w:tab/>
        <w:t>The Revenue Model………………………………………………………….42</w:t>
      </w:r>
    </w:p>
    <w:p>
      <w:pPr>
        <w:pStyle w:val="Normal"/>
        <w:spacing w:lineRule="auto" w:line="360"/>
        <w:rPr>
          <w:rFonts w:ascii="Arial" w:hAnsi="Arial" w:cs="Arial"/>
          <w:sz w:val="24"/>
        </w:rPr>
      </w:pPr>
      <w:r>
        <w:rPr>
          <w:rFonts w:cs="Arial" w:ascii="Arial" w:hAnsi="Arial"/>
          <w:sz w:val="24"/>
        </w:rPr>
        <w:tab/>
        <w:t>The Product Portfolio…………………………………………………………45</w:t>
      </w:r>
    </w:p>
    <w:p>
      <w:pPr>
        <w:pStyle w:val="Normal"/>
        <w:spacing w:lineRule="auto" w:line="360"/>
        <w:rPr>
          <w:rFonts w:ascii="Arial" w:hAnsi="Arial" w:cs="Arial"/>
          <w:sz w:val="24"/>
        </w:rPr>
      </w:pPr>
      <w:r>
        <w:rPr>
          <w:rFonts w:cs="Arial" w:ascii="Arial" w:hAnsi="Arial"/>
          <w:sz w:val="24"/>
        </w:rPr>
        <w:tab/>
        <w:t>Powered by PerfectRFQ.com User Scenario……………………………...47</w:t>
      </w:r>
    </w:p>
    <w:p>
      <w:pPr>
        <w:pStyle w:val="Normal"/>
        <w:spacing w:lineRule="auto" w:line="360"/>
        <w:rPr>
          <w:rFonts w:ascii="Arial" w:hAnsi="Arial" w:cs="Arial"/>
          <w:sz w:val="24"/>
        </w:rPr>
      </w:pPr>
      <w:r>
        <w:rPr>
          <w:rFonts w:cs="Arial" w:ascii="Arial" w:hAnsi="Arial"/>
          <w:sz w:val="24"/>
        </w:rPr>
        <w:tab/>
        <w:t>PerfectRFQ.com User Scenario…………………………………………….48</w:t>
      </w:r>
    </w:p>
    <w:p>
      <w:pPr>
        <w:pStyle w:val="Normal"/>
        <w:spacing w:lineRule="auto" w:line="360"/>
        <w:rPr>
          <w:rFonts w:ascii="Arial" w:hAnsi="Arial" w:cs="Arial"/>
          <w:sz w:val="24"/>
        </w:rPr>
      </w:pPr>
      <w:r>
        <w:rPr>
          <w:rFonts w:cs="Arial" w:ascii="Arial" w:hAnsi="Arial"/>
          <w:sz w:val="24"/>
        </w:rPr>
        <w:tab/>
      </w:r>
    </w:p>
    <w:p>
      <w:pPr>
        <w:pStyle w:val="Normal"/>
        <w:spacing w:lineRule="auto" w:line="360"/>
        <w:rPr>
          <w:rFonts w:ascii="Arial" w:hAnsi="Arial" w:cs="Arial"/>
          <w:b/>
          <w:bCs/>
          <w:sz w:val="24"/>
        </w:rPr>
      </w:pPr>
      <w:r>
        <w:rPr>
          <w:rFonts w:cs="Arial" w:ascii="Arial" w:hAnsi="Arial"/>
          <w:b/>
          <w:bCs/>
          <w:sz w:val="24"/>
        </w:rPr>
        <w:t>MARKET REQUIREMENTS FOR THE SELLER…………………………………51</w:t>
      </w:r>
    </w:p>
    <w:p>
      <w:pPr>
        <w:pStyle w:val="Normal"/>
        <w:spacing w:lineRule="auto" w:line="360"/>
        <w:rPr>
          <w:rFonts w:ascii="Arial" w:hAnsi="Arial" w:cs="Arial"/>
          <w:b/>
          <w:bCs/>
          <w:sz w:val="24"/>
        </w:rPr>
      </w:pPr>
      <w:r>
        <w:rPr>
          <w:rFonts w:cs="Arial" w:ascii="Arial" w:hAnsi="Arial"/>
          <w:b/>
          <w:bCs/>
          <w:sz w:val="24"/>
        </w:rPr>
      </w:r>
    </w:p>
    <w:p>
      <w:pPr>
        <w:pStyle w:val="Normal"/>
        <w:spacing w:lineRule="auto" w:line="360"/>
        <w:rPr>
          <w:rFonts w:ascii="Arial" w:hAnsi="Arial" w:cs="Arial"/>
          <w:b/>
          <w:bCs/>
          <w:sz w:val="24"/>
        </w:rPr>
      </w:pPr>
      <w:r>
        <w:rPr>
          <w:rFonts w:cs="Arial" w:ascii="Arial" w:hAnsi="Arial"/>
          <w:b/>
          <w:bCs/>
          <w:sz w:val="24"/>
        </w:rPr>
        <w:t>MARKET REQUIREMENTS FOR THE BUYER…………………………………..73</w:t>
      </w:r>
    </w:p>
    <w:p>
      <w:pPr>
        <w:pStyle w:val="Normal"/>
        <w:spacing w:lineRule="auto" w:line="360"/>
        <w:rPr>
          <w:rFonts w:ascii="Arial" w:hAnsi="Arial" w:cs="Arial"/>
          <w:b/>
          <w:bCs/>
          <w:sz w:val="24"/>
        </w:rPr>
      </w:pPr>
      <w:r>
        <w:rPr>
          <w:rFonts w:cs="Arial" w:ascii="Arial" w:hAnsi="Arial"/>
          <w:b/>
          <w:bCs/>
          <w:sz w:val="24"/>
        </w:rPr>
      </w:r>
    </w:p>
    <w:p>
      <w:pPr>
        <w:pStyle w:val="Heading4"/>
        <w:spacing w:lineRule="auto" w:line="360"/>
        <w:ind w:hanging="0" w:start="0"/>
        <w:rPr>
          <w:rFonts w:cs="Times New Roman"/>
        </w:rPr>
      </w:pPr>
      <w:r>
        <w:rPr>
          <w:rFonts w:cs="Times New Roman"/>
        </w:rPr>
        <w:t>CONCLUSION……………………………………………………………………….108</w:t>
      </w:r>
    </w:p>
    <w:p>
      <w:pPr>
        <w:pStyle w:val="Normal"/>
        <w:spacing w:lineRule="auto" w:line="360"/>
        <w:rPr/>
      </w:pPr>
      <w:r>
        <w:rPr>
          <w:rFonts w:cs="Arial" w:ascii="Arial" w:hAnsi="Arial"/>
          <w:sz w:val="24"/>
        </w:rPr>
        <w:tab/>
        <w:tab/>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r>
        <w:br w:type="page"/>
      </w:r>
    </w:p>
    <w:p>
      <w:pPr>
        <w:pStyle w:val="Normal"/>
        <w:rPr>
          <w:rFonts w:ascii="Arial" w:hAnsi="Arial" w:cs="Arial"/>
          <w:b/>
          <w:bCs/>
          <w:sz w:val="36"/>
        </w:rPr>
      </w:pPr>
      <w:r>
        <w:rPr>
          <w:rFonts w:cs="Arial" w:ascii="Arial" w:hAnsi="Arial"/>
          <w:b/>
          <w:bCs/>
          <w:sz w:val="36"/>
        </w:rPr>
        <w:t>INTRODUCTION</w:t>
      </w:r>
    </w:p>
    <w:p>
      <w:pPr>
        <w:pStyle w:val="Normal"/>
        <w:rPr>
          <w:rFonts w:ascii="Arial" w:hAnsi="Arial" w:cs="Arial"/>
          <w:sz w:val="36"/>
        </w:rPr>
      </w:pPr>
      <w:r>
        <w:rPr>
          <w:rFonts w:cs="Arial" w:ascii="Arial" w:hAnsi="Arial"/>
          <w:sz w:val="36"/>
        </w:rPr>
        <w:t>___________________________________________</w:t>
      </w:r>
    </w:p>
    <w:p>
      <w:pPr>
        <w:pStyle w:val="Heading5"/>
        <w:spacing w:lineRule="auto" w:line="360"/>
        <w:ind w:hanging="0" w:start="0"/>
        <w:rPr>
          <w:rFonts w:ascii="Arial" w:hAnsi="Arial" w:cs="Arial"/>
          <w:sz w:val="36"/>
        </w:rPr>
      </w:pPr>
      <w:r>
        <w:rPr>
          <w:rFonts w:cs="Arial"/>
          <w:sz w:val="36"/>
        </w:rPr>
      </w:r>
    </w:p>
    <w:p>
      <w:pPr>
        <w:pStyle w:val="FootnoteText"/>
        <w:rPr/>
      </w:pPr>
      <w:r>
        <w:rPr/>
      </w:r>
    </w:p>
    <w:p>
      <w:pPr>
        <w:pStyle w:val="Heading5"/>
        <w:spacing w:lineRule="auto" w:line="360"/>
        <w:ind w:hanging="0" w:start="0"/>
        <w:rPr/>
      </w:pPr>
      <w:r>
        <w:rPr/>
        <w:t>Purpose</w:t>
      </w:r>
    </w:p>
    <w:p>
      <w:pPr>
        <w:pStyle w:val="BodyText"/>
        <w:rPr/>
      </w:pPr>
      <w:r>
        <w:rPr/>
        <w:t>This Market Requirements Document’s purpose is two-fold: to aid in the crafting of Perfect.com’s business-to-business (B2B) strategic initiatives and to lay the foundation for the preparation of the Product Requirements Document.  It is assumed that a B2B business model will be critical to the core of the strategic efforts for long-term corporate viability in the marketplace.</w:t>
      </w:r>
    </w:p>
    <w:p>
      <w:pPr>
        <w:pStyle w:val="BodyText"/>
        <w:rPr/>
      </w:pPr>
      <w:r>
        <w:rPr/>
      </w:r>
    </w:p>
    <w:p>
      <w:pPr>
        <w:pStyle w:val="BodyText"/>
        <w:rPr>
          <w:b/>
          <w:bCs/>
          <w:sz w:val="28"/>
        </w:rPr>
      </w:pPr>
      <w:r>
        <w:rPr>
          <w:b/>
          <w:bCs/>
          <w:sz w:val="28"/>
        </w:rPr>
        <w:t>Audience</w:t>
      </w:r>
    </w:p>
    <w:p>
      <w:pPr>
        <w:pStyle w:val="BodyText"/>
        <w:rPr/>
      </w:pPr>
      <w:r>
        <w:rPr/>
        <w:t>This document is prepared for four distinct audiences: the Principals of the Company, the Product Management Team, the Brand Marketing Team, and the Engineering Team.</w:t>
      </w:r>
    </w:p>
    <w:p>
      <w:pPr>
        <w:pStyle w:val="BodyText"/>
        <w:rPr/>
      </w:pPr>
      <w:r>
        <w:rPr/>
      </w:r>
    </w:p>
    <w:p>
      <w:pPr>
        <w:pStyle w:val="BodyText"/>
        <w:rPr>
          <w:b/>
          <w:bCs/>
          <w:sz w:val="28"/>
        </w:rPr>
      </w:pPr>
      <w:r>
        <w:rPr>
          <w:b/>
          <w:bCs/>
          <w:sz w:val="28"/>
        </w:rPr>
        <w:t>Document Structure</w:t>
      </w:r>
    </w:p>
    <w:p>
      <w:pPr>
        <w:pStyle w:val="BodyText"/>
        <w:rPr/>
      </w:pPr>
      <w:r>
        <w:rPr/>
        <w:t>This document is structured to allow for flexibility in the flow of its information to meet the breath of domain expertise and intellectual curiosity of four distinct audiences.  The MRD consists of five principal building blocks: B2B contextual elements, the target market, the proposed value proposition, and the market requirements for design of both the buy and sell side.</w:t>
      </w:r>
    </w:p>
    <w:p>
      <w:pPr>
        <w:pStyle w:val="BodyText"/>
        <w:rPr/>
      </w:pPr>
      <w:r>
        <w:rPr/>
      </w:r>
    </w:p>
    <w:p>
      <w:pPr>
        <w:pStyle w:val="BodyText"/>
        <w:rPr>
          <w:b/>
          <w:bCs/>
          <w:sz w:val="28"/>
        </w:rPr>
      </w:pPr>
      <w:r>
        <w:rPr>
          <w:b/>
          <w:bCs/>
          <w:sz w:val="28"/>
        </w:rPr>
        <w:t>Scope of Document</w:t>
      </w:r>
    </w:p>
    <w:p>
      <w:pPr>
        <w:pStyle w:val="BodyText"/>
        <w:rPr/>
      </w:pPr>
      <w:r>
        <w:rPr/>
        <w:t>The scope of this document spans the state of the B2B marketplace, the need, the solution, and the Web-based functionality sought after to meet the business requirements of the buyer and the seller.  This document leverages the ongoing conceptual and developmental of the Consumer-to-Business efforts.  Its content strives to be in accordance with the Company’s quest to be the premier multi-dimensional RFQ platform infrastructure Application Service Provider (ASP).</w:t>
      </w:r>
      <w:r>
        <w:br w:type="page"/>
      </w:r>
    </w:p>
    <w:p>
      <w:pPr>
        <w:pStyle w:val="BodyText"/>
        <w:spacing w:lineRule="auto" w:line="240"/>
        <w:rPr>
          <w:b/>
          <w:bCs/>
          <w:sz w:val="36"/>
        </w:rPr>
      </w:pPr>
      <w:r>
        <w:rPr>
          <w:b/>
          <w:bCs/>
          <w:sz w:val="36"/>
        </w:rPr>
        <w:t>THE B2B MARKETSPACE</w:t>
      </w:r>
    </w:p>
    <w:p>
      <w:pPr>
        <w:pStyle w:val="BodyText"/>
        <w:spacing w:lineRule="auto" w:line="240"/>
        <w:rPr>
          <w:sz w:val="36"/>
        </w:rPr>
      </w:pPr>
      <w:r>
        <w:rPr>
          <w:sz w:val="36"/>
        </w:rPr>
        <w:t>___________________________________________</w:t>
      </w:r>
    </w:p>
    <w:p>
      <w:pPr>
        <w:pStyle w:val="BodyText"/>
        <w:rPr>
          <w:sz w:val="36"/>
        </w:rPr>
      </w:pPr>
      <w:r>
        <w:rPr>
          <w:sz w:val="36"/>
        </w:rPr>
      </w:r>
    </w:p>
    <w:p>
      <w:pPr>
        <w:pStyle w:val="BodyText"/>
        <w:rPr>
          <w:b/>
          <w:bCs/>
          <w:sz w:val="28"/>
        </w:rPr>
      </w:pPr>
      <w:r>
        <w:rPr>
          <w:b/>
          <w:bCs/>
          <w:sz w:val="28"/>
        </w:rPr>
        <w:t>Statistical Bliss</w:t>
      </w:r>
    </w:p>
    <w:p>
      <w:pPr>
        <w:pStyle w:val="BodyText"/>
        <w:rPr/>
      </w:pPr>
      <w:r>
        <w:rPr/>
        <w:t xml:space="preserve">The first wave of Internet companies has been consumer-based, but it seems clear that the next wave will be business-based.  Consider the following statistics reported by Forrester Research and the Census Bureau: </w:t>
      </w:r>
    </w:p>
    <w:p>
      <w:pPr>
        <w:pStyle w:val="BodyText"/>
        <w:rPr/>
      </w:pPr>
      <w:r>
        <w:rPr/>
      </w:r>
    </w:p>
    <w:p>
      <w:pPr>
        <w:pStyle w:val="BodyText"/>
        <w:numPr>
          <w:ilvl w:val="0"/>
          <w:numId w:val="17"/>
        </w:numPr>
        <w:rPr/>
      </w:pPr>
      <w:r>
        <w:rPr/>
        <w:t>The total value of global B2B commerce is estimated at $60 trillion.</w:t>
      </w:r>
    </w:p>
    <w:p>
      <w:pPr>
        <w:pStyle w:val="BodyText"/>
        <w:numPr>
          <w:ilvl w:val="0"/>
          <w:numId w:val="17"/>
        </w:numPr>
        <w:rPr/>
      </w:pPr>
      <w:r>
        <w:rPr/>
        <w:t>Businesses will place $3.2 trillion worldwide worth of orders via the Internet by 2003.</w:t>
      </w:r>
    </w:p>
    <w:p>
      <w:pPr>
        <w:pStyle w:val="BodyText"/>
        <w:numPr>
          <w:ilvl w:val="0"/>
          <w:numId w:val="17"/>
        </w:numPr>
        <w:rPr/>
      </w:pPr>
      <w:r>
        <w:rPr/>
        <w:t>In the United States, B2B transactions account for roughly $17 trillion, or 85% of the total commerce of the country.</w:t>
      </w:r>
    </w:p>
    <w:p>
      <w:pPr>
        <w:pStyle w:val="BodyText"/>
        <w:numPr>
          <w:ilvl w:val="0"/>
          <w:numId w:val="17"/>
        </w:numPr>
        <w:rPr/>
      </w:pPr>
      <w:r>
        <w:rPr/>
        <w:t>Approximately 8.8% of B2B transactions will be conducted online by the year 2003.</w:t>
      </w:r>
    </w:p>
    <w:p>
      <w:pPr>
        <w:pStyle w:val="BodyText"/>
        <w:numPr>
          <w:ilvl w:val="0"/>
          <w:numId w:val="17"/>
        </w:numPr>
        <w:rPr/>
      </w:pPr>
      <w:r>
        <w:rPr/>
        <w:t>The implied market opportunity for B2B eCommerce (B2BeC) is $1.5 trillion by 2003 or $1.3 trillion of goods and $220 billion of services.</w:t>
      </w:r>
    </w:p>
    <w:p>
      <w:pPr>
        <w:pStyle w:val="BodyText"/>
        <w:numPr>
          <w:ilvl w:val="0"/>
          <w:numId w:val="17"/>
        </w:numPr>
        <w:rPr/>
      </w:pPr>
      <w:r>
        <w:rPr/>
        <w:t>More than 50% of businesses in the United States will be online by 2002.</w:t>
      </w:r>
    </w:p>
    <w:p>
      <w:pPr>
        <w:pStyle w:val="BodyText"/>
        <w:numPr>
          <w:ilvl w:val="0"/>
          <w:numId w:val="17"/>
        </w:numPr>
        <w:rPr/>
      </w:pPr>
      <w:r>
        <w:rPr/>
        <w:t>B2BeC sales have already surpassed B2CeC sales.</w:t>
      </w:r>
    </w:p>
    <w:p>
      <w:pPr>
        <w:pStyle w:val="BodyText"/>
        <w:numPr>
          <w:ilvl w:val="0"/>
          <w:numId w:val="17"/>
        </w:numPr>
        <w:rPr/>
      </w:pPr>
      <w:r>
        <w:rPr/>
        <w:t>Metamediaries are expected to facilitate the exchange of more than $400 billion.</w:t>
      </w:r>
    </w:p>
    <w:p>
      <w:pPr>
        <w:pStyle w:val="BodyText"/>
        <w:numPr>
          <w:ilvl w:val="0"/>
          <w:numId w:val="17"/>
        </w:numPr>
        <w:rPr/>
      </w:pPr>
      <w:r>
        <w:rPr/>
        <w:t>It is estimated that in 2000, there will be a 50% PC penetration rate and a 36% online penetration rate associated with the 100 million U.S. homes.  Respectively, of the 6.23 million U.S. businesses, there will be 67% PC enabled and 60% of those will subscribe to online services .</w:t>
      </w:r>
    </w:p>
    <w:p>
      <w:pPr>
        <w:pStyle w:val="BodyText"/>
        <w:numPr>
          <w:ilvl w:val="0"/>
          <w:numId w:val="17"/>
        </w:numPr>
        <w:rPr/>
      </w:pPr>
      <w:r>
        <w:rPr/>
        <w:t xml:space="preserve">Although 9% of all business sales is projected to be B2BeC by 2003, online transactions could account for 18% to 43% of B2B sales, depending on the industry. </w:t>
      </w:r>
    </w:p>
    <w:p>
      <w:pPr>
        <w:pStyle w:val="BodyText"/>
        <w:numPr>
          <w:ilvl w:val="0"/>
          <w:numId w:val="17"/>
        </w:numPr>
        <w:rPr/>
      </w:pPr>
      <w:r>
        <w:rPr/>
        <w:t>42% of B2BeC sites that have been in business for more than 3 years are profitable (ActivMedia Research).</w:t>
      </w:r>
    </w:p>
    <w:p>
      <w:pPr>
        <w:pStyle w:val="BodyText"/>
        <w:numPr>
          <w:ilvl w:val="0"/>
          <w:numId w:val="17"/>
        </w:numPr>
        <w:rPr/>
      </w:pPr>
      <w:r>
        <w:rPr/>
        <w:t>$16 billion spent on B2B auctions in 1999 (ActivMedia)</w:t>
      </w:r>
    </w:p>
    <w:p>
      <w:pPr>
        <w:pStyle w:val="BodyText"/>
        <w:numPr>
          <w:ilvl w:val="0"/>
          <w:numId w:val="17"/>
        </w:numPr>
        <w:rPr/>
      </w:pPr>
      <w:r>
        <w:rPr/>
        <w:t>98% of U.S. businesses will sell goods over the Internet in 2000</w:t>
      </w:r>
    </w:p>
    <w:p>
      <w:pPr>
        <w:pStyle w:val="BodyText"/>
        <w:numPr>
          <w:ilvl w:val="0"/>
          <w:numId w:val="17"/>
        </w:numPr>
        <w:rPr/>
      </w:pPr>
      <w:r>
        <w:rPr/>
        <w:t>66% of U.S. businesses will make purchases over the Internet in 2000</w:t>
      </w:r>
    </w:p>
    <w:p>
      <w:pPr>
        <w:pStyle w:val="BodyText"/>
        <w:numPr>
          <w:ilvl w:val="0"/>
          <w:numId w:val="17"/>
        </w:numPr>
        <w:rPr/>
      </w:pPr>
      <w:r>
        <w:rPr/>
        <w:t>There are over 300 vortals/metamediaries today and The Gartner Group expects that number to increase to more than 10,000 within one to two years.</w:t>
      </w:r>
    </w:p>
    <w:p>
      <w:pPr>
        <w:pStyle w:val="BodyText"/>
        <w:numPr>
          <w:ilvl w:val="0"/>
          <w:numId w:val="17"/>
        </w:numPr>
        <w:rPr/>
      </w:pPr>
      <w:r>
        <w:rPr/>
        <w:t>Boston Consulting Group (BCG) estimates that one-fourth of all U.S. B2B purchasing will be done online by 2003.</w:t>
      </w:r>
    </w:p>
    <w:p>
      <w:pPr>
        <w:pStyle w:val="BodyText"/>
        <w:rPr/>
      </w:pPr>
      <w:r>
        <w:rPr/>
      </w:r>
    </w:p>
    <w:p>
      <w:pPr>
        <w:pStyle w:val="BodyText"/>
        <w:rPr>
          <w:b/>
          <w:bCs/>
          <w:sz w:val="28"/>
        </w:rPr>
      </w:pPr>
      <w:r>
        <w:rPr>
          <w:b/>
          <w:bCs/>
          <w:sz w:val="28"/>
        </w:rPr>
        <w:t>Historical Context</w:t>
      </w:r>
    </w:p>
    <w:p>
      <w:pPr>
        <w:pStyle w:val="BodyText"/>
        <w:rPr/>
      </w:pPr>
      <w:r>
        <w:rPr/>
        <w:t xml:space="preserve">According to Mohanbir Sawhney, professor at the Kellogg Graduate School of Management, the limitations of space have long dictated the economics of exchange transactions.  Buyers must be physically close to sellers for exchanges to be efficient.  As sellers grew in numbers and buyers became geographically distant from sellers in the Industrial Economy, direct buyer-seller exchanges became impossible.  This spatial separation gave rise to middlemen who facilitated exchanges between firms and customers.  Intermediaries added value by providing spatial utility, assortment utility, and temporal utility to customers.  They provided customers with the right products at the right place and at the right time.  The value of intermediation derived from the geographical fragmentation of demand and the transportation costs of customers.  </w:t>
      </w:r>
    </w:p>
    <w:p>
      <w:pPr>
        <w:pStyle w:val="BodyText"/>
        <w:rPr/>
      </w:pPr>
      <w:r>
        <w:rPr/>
      </w:r>
    </w:p>
    <w:p>
      <w:pPr>
        <w:pStyle w:val="BodyText"/>
        <w:rPr/>
      </w:pPr>
      <w:r>
        <w:rPr/>
        <w:t>In the Network Economy, the limitations of space no longer apply.  Firms can reach their customers directly without regard to their physical location.  In a world where everyone and everything is connected, the shortest distance between a customer and a firm is one mouse click.  This “death of distance” is a defining feature of the New Economy.  If the pundits were to be believed, middlemen would become the road kill on the information superhighway.</w:t>
      </w:r>
    </w:p>
    <w:p>
      <w:pPr>
        <w:pStyle w:val="BodyText"/>
        <w:rPr/>
      </w:pPr>
      <w:r>
        <w:rPr/>
      </w:r>
    </w:p>
    <w:p>
      <w:pPr>
        <w:pStyle w:val="BodyText"/>
        <w:rPr/>
      </w:pPr>
      <w:r>
        <w:rPr/>
        <w:t>But a funny thing happened on the path to frictionless capitalism.  The economics of distance died, but the economics of attention took its place.  Indeed, firms are setting shop to market directly to their customers.  But in many markets, especially in the B2B marketplace, customers find themselves overwhelmed with vendors clamoring for their attention, and vendors find themselves in a desperate battle to acquire customers.  Customers still need to search, evaluate negotiate, and configure products on their own.  What customers gained in reduced transportation costs; they have lost in increased search costs.  These search and evaluation costs translate into higher marketing and customer acquisition costs for service providers and continue to create significant friction in commerce.</w:t>
      </w:r>
    </w:p>
    <w:p>
      <w:pPr>
        <w:pStyle w:val="BodyText"/>
        <w:rPr/>
      </w:pPr>
      <w:r>
        <w:rPr/>
      </w:r>
    </w:p>
    <w:p>
      <w:pPr>
        <w:pStyle w:val="BodyText"/>
        <w:rPr>
          <w:b/>
          <w:bCs/>
          <w:sz w:val="28"/>
        </w:rPr>
      </w:pPr>
      <w:r>
        <w:rPr>
          <w:b/>
          <w:bCs/>
          <w:sz w:val="28"/>
        </w:rPr>
        <w:t>The Infomediary</w:t>
      </w:r>
    </w:p>
    <w:p>
      <w:pPr>
        <w:pStyle w:val="BodyText"/>
        <w:rPr/>
      </w:pPr>
      <w:r>
        <w:rPr/>
        <w:t xml:space="preserve">Here forth, enters a new kind of intermediaries that have no parallel in the analog world and have little or no physical presence: the infomediary.  According to John Hagel III and Marc Singer, authors of </w:t>
      </w:r>
      <w:r>
        <w:rPr>
          <w:i/>
          <w:iCs/>
        </w:rPr>
        <w:t>Net Worth</w:t>
      </w:r>
      <w:r>
        <w:rPr/>
        <w:t xml:space="preserve">, in an environment of unlimited selection and access to information, the scarce resource becomes customer attention.  Customers still face one unyielding constraint: they still have only 24 hours a day.  Where and how they choose to use this time will have enormous economic consequences.  With limited time and unlimited choice, customers will likely focus their attention on providers that best understand their needs and can, as a result, maximize their return on attention by delivering highly tailored bundles of products and services.  </w:t>
      </w:r>
    </w:p>
    <w:p>
      <w:pPr>
        <w:pStyle w:val="BodyText"/>
        <w:rPr/>
      </w:pPr>
      <w:r>
        <w:rPr/>
      </w:r>
    </w:p>
    <w:p>
      <w:pPr>
        <w:pStyle w:val="BodyText"/>
        <w:rPr/>
      </w:pPr>
      <w:r>
        <w:rPr/>
        <w:t xml:space="preserve">As consumers begin to challenge marketers for control of their own customer information, they’ll find themselves in need of a trusted third party to act as the custodian, agent, and broker of that information, marketing it to businesses on the buyer’s behalf while at the same time protecting consumer privacy.  This third party will act as a kind of personal agent, information intermediary, or infomediary – a company whose revenues come from helping customers both protect and enrich themselves by capturing their own customer information and then selling it to the many companies that are now getting that information for free.  </w:t>
      </w:r>
    </w:p>
    <w:p>
      <w:pPr>
        <w:pStyle w:val="BodyText"/>
        <w:rPr/>
      </w:pPr>
      <w:r>
        <w:rPr/>
      </w:r>
    </w:p>
    <w:p>
      <w:pPr>
        <w:pStyle w:val="BodyText"/>
        <w:rPr>
          <w:b/>
          <w:bCs/>
          <w:sz w:val="28"/>
        </w:rPr>
      </w:pPr>
      <w:r>
        <w:rPr>
          <w:b/>
          <w:bCs/>
          <w:sz w:val="28"/>
        </w:rPr>
      </w:r>
    </w:p>
    <w:p>
      <w:pPr>
        <w:pStyle w:val="BodyText"/>
        <w:rPr>
          <w:b/>
          <w:bCs/>
          <w:sz w:val="28"/>
        </w:rPr>
      </w:pPr>
      <w:r>
        <w:rPr>
          <w:b/>
          <w:bCs/>
          <w:sz w:val="28"/>
        </w:rPr>
        <w:t>The Customer Brand</w:t>
      </w:r>
    </w:p>
    <w:p>
      <w:pPr>
        <w:pStyle w:val="BodyText"/>
        <w:rPr/>
      </w:pPr>
      <w:r>
        <w:rPr/>
        <w:t>Today, brands are largely product-centric – they are statements about the vendor or the products offered by the vendor.  In an environment where return on attention becomes the key measure of performance, a new kind of brand is emerging – a customer-centric brand.  Customer-centric brand have two components: they assure the customer that the vendor knows and understands that individual customer better than anyone else does; and, they promise the customer that the vendor can tailor products and services to meet that individual customer’s needs better than anyone else can.  The more attention the customer gives to a brand, the more the brand owner will learn about the customer, and the stronger the value of the brand becomes to the customer.  Infomediaries have a natural claim to knowing the customer better than anyone else and can tailor bundles of products and services to meet the needs of the individual customer.  For this reason, it is imperative for infomediaries to develop very strong customer-centric brands.</w:t>
      </w:r>
    </w:p>
    <w:p>
      <w:pPr>
        <w:pStyle w:val="BodyText"/>
        <w:rPr/>
      </w:pPr>
      <w:r>
        <w:rPr/>
      </w:r>
    </w:p>
    <w:p>
      <w:pPr>
        <w:pStyle w:val="BodyText"/>
        <w:rPr>
          <w:b/>
          <w:bCs/>
          <w:sz w:val="28"/>
        </w:rPr>
      </w:pPr>
      <w:r>
        <w:rPr>
          <w:b/>
          <w:bCs/>
          <w:sz w:val="28"/>
        </w:rPr>
        <w:t>The Metamediary</w:t>
      </w:r>
    </w:p>
    <w:p>
      <w:pPr>
        <w:pStyle w:val="BodyText"/>
        <w:rPr/>
      </w:pPr>
      <w:r>
        <w:rPr/>
        <w:t>The infomediary, as originally coined and defined, tends to relate more to personal information used for consumer sales than to B2B information.  A broader definition of the term would include any Internet intermediary that facilitates the flow of information.  However, most companies that fit this description provide a wider range of products and services than just facilitating the flow of information.  As a result, the B2B marketplace has coined another concept: the metamediary.  Not only does it aggregate data and facilitates transactions to help bring buyers and sellers together by providing multi-vendor, multi-product marketplaces, the metamediary also provides multiple services.  These services can be offered directly by the metamediary, or it can invite third- party services providers (TPPs) into its marketplace.  Services provided could include quality assurance, procurement management, fulfillment, or payment settlement.  These additional services are critical to broaden the metamediary’s offering in an attempt to provide an end-to-end solution and make its position more defensible.</w:t>
      </w:r>
    </w:p>
    <w:p>
      <w:pPr>
        <w:pStyle w:val="BodyText"/>
        <w:rPr/>
      </w:pPr>
      <w:r>
        <w:rPr/>
      </w:r>
    </w:p>
    <w:p>
      <w:pPr>
        <w:pStyle w:val="BodyText"/>
        <w:rPr>
          <w:b/>
          <w:bCs/>
          <w:sz w:val="28"/>
        </w:rPr>
      </w:pPr>
      <w:r>
        <w:rPr>
          <w:b/>
          <w:bCs/>
          <w:sz w:val="28"/>
        </w:rPr>
        <w:t>Disintermediation and Deconstruction</w:t>
      </w:r>
    </w:p>
    <w:p>
      <w:pPr>
        <w:pStyle w:val="BodyText"/>
        <w:rPr/>
      </w:pPr>
      <w:r>
        <w:rPr/>
        <w:t xml:space="preserve">The Internet is revolutionary because it connects firms with firms, firms with customers, and people with people.  And it connects them without regard to time, space, and hardware/software platforms.  Firms can connect with their trading partners through the Internet at far lower costs and with far more flexibility than proprietary electronic data interchange (EDI) links.  Improved connectivity dramatically reduces the cost of communication in exchange transactions.  Firms can now bypass analog intermediaries.  This phenomenon, called disintermediation, has begun to take hold in many industry sectors such as insurance, the automobile, and travel.  Although disintermediation threatens a variety of middlemen such as insurance agents, car salesmen, and travel agents, it is obvious that for every analog intermediary that is eliminated, several new value-added intermediaries are created.  InsWeb, AutoByTel, and Travelocity all supply product information and take purchase orders, but the offline world still provides the fulfillment.  </w:t>
      </w:r>
    </w:p>
    <w:p>
      <w:pPr>
        <w:pStyle w:val="BodyText"/>
        <w:rPr/>
      </w:pPr>
      <w:r>
        <w:rPr/>
      </w:r>
    </w:p>
    <w:p>
      <w:pPr>
        <w:pStyle w:val="BodyText"/>
        <w:rPr/>
      </w:pPr>
      <w:r>
        <w:rPr/>
        <w:t xml:space="preserve">In the offline world, information (e.g. software) typically is bundled with the physical product (e.g. computer), and the core product is often sold along with complementary products.  Vertically integrated intermediaries (e.g. car dealers) provide bundled flows (e.g. information, negotiation, financing) and bundled offerings (e.g. parts, automobile).  The bundling of functions and offerings provides one-stop convenience for consumers, who would otherwise have to deal with several product and service providers.  But bundling also involves significant compromises, because vertically integrated middlemen are often not the best or lowest-cost providers of specific flows.  Auto dealers, for instance, often use new cars as a loss leader to sell higher-margin accessories, financing, and extended warranties. </w:t>
      </w:r>
    </w:p>
    <w:p>
      <w:pPr>
        <w:pStyle w:val="BodyText"/>
        <w:rPr/>
      </w:pPr>
      <w:r>
        <w:rPr/>
      </w:r>
    </w:p>
    <w:p>
      <w:pPr>
        <w:pStyle w:val="BodyText"/>
        <w:rPr/>
      </w:pPr>
      <w:r>
        <w:rPr/>
        <w:t>In the Network Economy, customers can search, evaluate, negotiate, pay for, and take delivery of products at different points in time, and from different providers.  Hence, integrated intermediaries can be replaced by a combination of specialized marketplace intermediaries who manage the information flows (the bits), and a set of specialized marketplace intermediaries who manage the physical flows (the atoms).  This market deconstruction offers significant advantages to the customers because they can mix and match best-of-breed providers of channel flows, instead of being forced to buy a bundle of channel flows from vertically integrated middlemen.  The separation of flows and the proliferation of middlemen place unreasonable demands on a customer’s time.  They must search, evaluate, and assemble information from a whole host of specialized intermediaries.  Herein lie the inefficient markets of the early Network Economy.</w:t>
      </w:r>
    </w:p>
    <w:p>
      <w:pPr>
        <w:pStyle w:val="BodyText"/>
        <w:rPr/>
      </w:pPr>
      <w:r>
        <w:rPr/>
      </w:r>
    </w:p>
    <w:p>
      <w:pPr>
        <w:pStyle w:val="BodyText"/>
        <w:rPr/>
      </w:pPr>
      <w:r>
        <w:rPr/>
        <w:t>According to Nicholas Carr, one must take issue with the widespread notion that the Internet will usher in an era of "disintermediation," in which producers of goods and services bypass wholesalers and retailers to connect directly with their customers. Business is undergoing precisely the opposite phenomenon -- what he calls hypermediation. Transactions over the Web routinely involve all sorts of intermediaries. It is these middlemen that are positioned to capture most of the profits.</w:t>
      </w:r>
    </w:p>
    <w:p>
      <w:pPr>
        <w:pStyle w:val="BodyText"/>
        <w:rPr/>
      </w:pPr>
      <w:r>
        <w:rPr/>
      </w:r>
    </w:p>
    <w:p>
      <w:pPr>
        <w:pStyle w:val="BodyText"/>
        <w:rPr>
          <w:b/>
          <w:bCs/>
          <w:sz w:val="28"/>
        </w:rPr>
      </w:pPr>
      <w:r>
        <w:rPr>
          <w:b/>
          <w:bCs/>
          <w:sz w:val="28"/>
        </w:rPr>
        <w:t>The Metamarket</w:t>
      </w:r>
    </w:p>
    <w:p>
      <w:pPr>
        <w:pStyle w:val="BodyText"/>
        <w:rPr/>
      </w:pPr>
      <w:r>
        <w:rPr/>
        <w:t xml:space="preserve">To achieve the promise of frictionless commerce, deconstructed channel flows and offerings must be reassembled in ways that reduce the search and evaluation costs for customers.  The metamarket holds the promise of the rebirth of efficient markets.  Customers think about products and markets very differently from the way products and markets are bundled and sold in the physical marketplace.  Customers think in terms of activities, while firms think in terms of products.  Activities that are logically related in cognitive space may be spread across very disperse providers in the marketplace.  For instance, the automobile metamarket consists of a cluster of logically related activities such as evaluating, negotiating, buying, financing, insuring, repairing, servicing, reselling, staying informed, etc.  The automobile industry responds with a series of providers from auto dealers, auction firms, insurance firms, spare dealers, finance firms, mechanics, warranty firms, and auto manufacturers.  </w:t>
      </w:r>
    </w:p>
    <w:p>
      <w:pPr>
        <w:pStyle w:val="BodyText"/>
        <w:rPr/>
      </w:pPr>
      <w:r>
        <w:rPr/>
      </w:r>
    </w:p>
    <w:p>
      <w:pPr>
        <w:pStyle w:val="BodyText"/>
        <w:rPr/>
      </w:pPr>
      <w:r>
        <w:rPr/>
        <w:t>However, not all channel flows can be informationalized and performed in the marketspace.  Automobile customers will still need to test drive vehicles and get their automobile serviced.  But the reduced number of flows no longer requires the full-service dealerships, complete with potted plants and overpaid salespeople.  This will spur the creation of another set of specialized providers in the marketplace, such as dedicated test-drive outlets, and multi-brand repair outlets.  Existing full-service retailers will need to adapt by stripping out channel functions that are better performed in the marketspace (e.g. financing and insurance), and will need to compete with specialized marketplace providers on a narrower set of marketplace functions.  So disintermediation will indeed occur, but will be accompanied by the creation of a large number of specialized providers both in the marketplace and in the marketspace.  And all of this will be enable by metamediaries.</w:t>
      </w:r>
    </w:p>
    <w:p>
      <w:pPr>
        <w:pStyle w:val="BodyText"/>
        <w:rPr/>
      </w:pPr>
      <w:r>
        <w:rPr/>
      </w:r>
    </w:p>
    <w:p>
      <w:pPr>
        <w:pStyle w:val="BodyText"/>
        <w:rPr>
          <w:b/>
          <w:bCs/>
          <w:sz w:val="28"/>
        </w:rPr>
      </w:pPr>
      <w:r>
        <w:rPr>
          <w:b/>
          <w:bCs/>
          <w:sz w:val="28"/>
        </w:rPr>
        <w:t>Value Chain Integration</w:t>
      </w:r>
    </w:p>
    <w:p>
      <w:pPr>
        <w:pStyle w:val="BodyText"/>
        <w:rPr/>
      </w:pPr>
      <w:r>
        <w:rPr/>
        <w:t>Metamediaries are neutral third parties that operate in the marketspace to realign the marketplace with cognitive space.  Metamediaries make metamarkets possible by assembling the products and services in a metamarket into a seamless, integrated bundle.  They serve as a single point of contact between buyers and sellers and greatly improve the efficiency and effectiveness of exchanges.  At their heart, metamediaries are providers of trusted advice and information that customers need to make better decisions for a cluster of activities.  Unlike channel intermediaries, metamediaries do not represent the providers of products and services.  They facilitate exchanges, but do not participate in the actual exchange transactions.  They do not make money by advertising, subscription, or transaction fees.  They recapture value by collecting a referral fee from partners for every connection they make between a customer and a product/service provider.  Finally, metamediaries are not product-centric aggregators like InsWeb or Quicken.com.  They are activity-centric aggregators.  Fertile hunting grounds includes product categories that:</w:t>
      </w:r>
    </w:p>
    <w:p>
      <w:pPr>
        <w:pStyle w:val="BodyText"/>
        <w:rPr/>
      </w:pPr>
      <w:r>
        <w:rPr/>
      </w:r>
    </w:p>
    <w:p>
      <w:pPr>
        <w:pStyle w:val="BodyText"/>
        <w:numPr>
          <w:ilvl w:val="0"/>
          <w:numId w:val="5"/>
        </w:numPr>
        <w:rPr/>
      </w:pPr>
      <w:r>
        <w:rPr/>
        <w:t>Are big-ticket items that require complex decision-making</w:t>
      </w:r>
    </w:p>
    <w:p>
      <w:pPr>
        <w:pStyle w:val="BodyText"/>
        <w:numPr>
          <w:ilvl w:val="0"/>
          <w:numId w:val="5"/>
        </w:numPr>
        <w:rPr/>
      </w:pPr>
      <w:r>
        <w:rPr/>
        <w:t>Have a high information content</w:t>
      </w:r>
    </w:p>
    <w:p>
      <w:pPr>
        <w:pStyle w:val="BodyText"/>
        <w:numPr>
          <w:ilvl w:val="0"/>
          <w:numId w:val="5"/>
        </w:numPr>
        <w:rPr/>
      </w:pPr>
      <w:r>
        <w:rPr/>
        <w:t>Require customers to collect information from a variety of fragmented sources</w:t>
      </w:r>
    </w:p>
    <w:p>
      <w:pPr>
        <w:pStyle w:val="BodyText"/>
        <w:numPr>
          <w:ilvl w:val="0"/>
          <w:numId w:val="5"/>
        </w:numPr>
        <w:rPr/>
      </w:pPr>
      <w:r>
        <w:rPr/>
        <w:t>Consist of a large number of complementary products and services</w:t>
      </w:r>
    </w:p>
    <w:p>
      <w:pPr>
        <w:pStyle w:val="BodyText"/>
        <w:numPr>
          <w:ilvl w:val="0"/>
          <w:numId w:val="5"/>
        </w:numPr>
        <w:rPr/>
      </w:pPr>
      <w:r>
        <w:rPr/>
        <w:t>Are characterized by inefficient purchasing experience</w:t>
      </w:r>
    </w:p>
    <w:p>
      <w:pPr>
        <w:pStyle w:val="BodyText"/>
        <w:rPr/>
      </w:pPr>
      <w:r>
        <w:rPr/>
      </w:r>
    </w:p>
    <w:p>
      <w:pPr>
        <w:pStyle w:val="BodyText"/>
        <w:rPr/>
      </w:pPr>
      <w:r>
        <w:rPr/>
        <w:t xml:space="preserve">Value chain infomediaries in this market focus on solving and dominating a specific function of the value chain.  Perfect.com aims to dominate the multi-dimensional RFQ function.  However, by integrating multiple and diverse steps within a market’s value chain (e.g. supplier information, fulfillment, payment), and aiming to leverage the information capture between those steps as added-value, it may well become the ultimate category consolidator and a metamediary by design.  </w:t>
      </w:r>
    </w:p>
    <w:p>
      <w:pPr>
        <w:pStyle w:val="BodyText"/>
        <w:rPr/>
      </w:pPr>
      <w:r>
        <w:rPr/>
      </w:r>
    </w:p>
    <w:p>
      <w:pPr>
        <w:pStyle w:val="BodyText"/>
        <w:rPr>
          <w:b/>
          <w:bCs/>
          <w:sz w:val="28"/>
        </w:rPr>
      </w:pPr>
      <w:r>
        <w:rPr>
          <w:b/>
          <w:bCs/>
          <w:sz w:val="28"/>
        </w:rPr>
        <w:t>The Emergence of Intelligent Agents</w:t>
      </w:r>
    </w:p>
    <w:p>
      <w:pPr>
        <w:pStyle w:val="BodyText"/>
        <w:rPr/>
      </w:pPr>
      <w:r>
        <w:rPr/>
        <w:t>According to Zorawar Biri Singh, veteran of several technology and entrepreneurial ventures, the phenomenon of rapid back-end and front-end integration of global, corporate enterprises that gave rise to the multibillion-dollar Enterprise Resource Planning (ERP) industry, is now witnessing the Web-based integration of their back-end and front-end operations.  The catalyst here is the realization by most firms that in order to survive as true ebusinesses, they have to be prepared to participate in dynamic, openly trading emarkets.  They have to invest in mechanisms and solutions that will allow them maximum flexibility in setting up their price elasticity.  Having these processes somewhat automated and “competitor-aware” will free up marketing creativity to focus on building brand and enhancing customer care – absolutely critical for their own long-run viability.</w:t>
      </w:r>
    </w:p>
    <w:p>
      <w:pPr>
        <w:pStyle w:val="BodyText"/>
        <w:rPr/>
      </w:pPr>
      <w:r>
        <w:rPr/>
      </w:r>
    </w:p>
    <w:p>
      <w:pPr>
        <w:pStyle w:val="BodyText"/>
        <w:rPr/>
      </w:pPr>
      <w:r>
        <w:rPr>
          <w:rFonts w:eastAsia="Arial"/>
        </w:rPr>
        <w:t xml:space="preserve"> </w:t>
      </w:r>
      <w:r>
        <w:rPr/>
        <w:t>Much of the answer lies in intelligent agents, which may prove to be ideal in creating cooperative mediation models as well as dynamic, real-time trading applications that will allow faster negotiations and more efficient transactions.  Agent-based commerce apps can help buyers and sellers select their optimal trading strategies, and manage their buying or selling campaigns by organizing and matching mutually beneficial transactions that satisfy both sides of buy-sell.  Additionally, these systems might integrate and track real-time changes in inventory levels, price points, and product availability in order to maximize transactions, and, hence, overall efficiency.</w:t>
      </w:r>
    </w:p>
    <w:p>
      <w:pPr>
        <w:pStyle w:val="BodyText"/>
        <w:rPr/>
      </w:pPr>
      <w:r>
        <w:rPr/>
      </w:r>
    </w:p>
    <w:p>
      <w:pPr>
        <w:pStyle w:val="BodyText"/>
        <w:rPr>
          <w:b/>
          <w:bCs/>
          <w:sz w:val="28"/>
        </w:rPr>
      </w:pPr>
      <w:r>
        <w:rPr>
          <w:b/>
          <w:bCs/>
          <w:sz w:val="28"/>
        </w:rPr>
        <w:t>Dynamic Pricing</w:t>
      </w:r>
    </w:p>
    <w:p>
      <w:pPr>
        <w:pStyle w:val="BodyText"/>
        <w:rPr/>
      </w:pPr>
      <w:r>
        <w:rPr/>
        <w:t>Two characteristics of the Internet are causing a shift from fixed to dynamic pricing.  First, price uncertainty and volatility have risen as the Internet has increased the number of customers, competitors and the amount and timeless of information.  Businesses are finding that using a single fixed price in these volatile Internet markets is often ineffective and inefficient.  Second, the Internet has reduced the transaction costs associated with dynamic pricing by eliminating the need for people to be physically present in time and space to be present.  This trend is expected to be most evident in the B2BeC space.  Forrester Research predicts that B2B Internet auctions will grow to $52.6 billion by 2002, while analyst Vernon Keenan forecasts that in the same period dynamically priced B2B transactions will rise to $88 billion – representing 27% of the value of all B2BeC transactions.  The Gartner Group expects that by 2002 there will be 7,500 independent Internet exchanges.</w:t>
      </w:r>
    </w:p>
    <w:p>
      <w:pPr>
        <w:pStyle w:val="BodyText"/>
        <w:rPr/>
      </w:pPr>
      <w:r>
        <w:rPr/>
      </w:r>
    </w:p>
    <w:p>
      <w:pPr>
        <w:pStyle w:val="BodyText"/>
        <w:rPr/>
      </w:pPr>
      <w:r>
        <w:rPr/>
        <w:t>It’s a confusing world, but one in which customers are served with the perfect mix of price, value and risk.  Consider every product, regardless of its current popularity, as a candidate for dynamic pricing.   According to Whit Andrews, Internet World columnist, when prices are set free, almost every other aspect of a product must be known.  Not only do bidders demand precise knowledge of what they’re getting, but sellers also want to reach only the buyers worth working with.  One of the key element is ensure the breadth of relevant detail in the exchange piece to let the companies involved reach just the right vendors, and to save the other sellers the hassle of being invited to bid on contracts that aren’t for them.  Because it coaxes buyer and seller alike to reveal their real desires, and because it provides a superb portrait of complex markets, dynamic pricing requires that every item for sale be precisely described, every bidding parameter specifically addressed, and all of it recorded and retrievable.</w:t>
      </w:r>
    </w:p>
    <w:p>
      <w:pPr>
        <w:pStyle w:val="BodyText"/>
        <w:rPr/>
      </w:pPr>
      <w:r>
        <w:rPr/>
      </w:r>
    </w:p>
    <w:p>
      <w:pPr>
        <w:pStyle w:val="BodyText"/>
        <w:rPr>
          <w:b/>
          <w:bCs/>
          <w:sz w:val="28"/>
        </w:rPr>
      </w:pPr>
      <w:r>
        <w:rPr>
          <w:b/>
          <w:bCs/>
          <w:sz w:val="28"/>
        </w:rPr>
        <w:t>Trading Mechanisms</w:t>
      </w:r>
    </w:p>
    <w:p>
      <w:pPr>
        <w:pStyle w:val="BodyText"/>
        <w:rPr/>
      </w:pPr>
      <w:r>
        <w:rPr/>
        <w:t xml:space="preserve">Dynamic pricing has led the way to the development of a variety of trading mechanisms such as auctions, reverse auctions, and exchanges.  To make matters more interesting, there exist a plethora of flavors for each one of these mechanisms.  Auctions typically work best for liquidating excess inventory, allocating scarce resources, or selling perishable goods or one-of-a-kind items in a one seller and many buyers environment.  Exchanges are useful for well-defined products (often commodities) that are often bought purely based on specifications (e.g. dimensions, grade, etc.), have high price volatility and require two-way negotiation between many buyers and many sellers.  The procurement of services or custom-made is best suited to reverse auctions, where a single buyer specifies the item they require and then interacts with multiple sellers to determine the optimal provider – much like a Request For Quotation (RFQ).  The reverse auction mechanism can be further leveraged to aggregate buyer demand and allow sellers to bid on it.  </w:t>
      </w:r>
    </w:p>
    <w:p>
      <w:pPr>
        <w:pStyle w:val="BodyText"/>
        <w:rPr>
          <w:b/>
          <w:bCs/>
          <w:sz w:val="28"/>
        </w:rPr>
      </w:pPr>
      <w:r>
        <w:rPr>
          <w:b/>
          <w:bCs/>
          <w:sz w:val="28"/>
        </w:rPr>
      </w:r>
    </w:p>
    <w:p>
      <w:pPr>
        <w:pStyle w:val="BodyText"/>
        <w:rPr>
          <w:b/>
          <w:bCs/>
          <w:sz w:val="28"/>
        </w:rPr>
      </w:pPr>
      <w:r>
        <w:rPr>
          <w:b/>
          <w:bCs/>
          <w:sz w:val="28"/>
        </w:rPr>
        <w:t>Auction Types</w:t>
      </w:r>
    </w:p>
    <w:p>
      <w:pPr>
        <w:pStyle w:val="BodyText"/>
        <w:rPr/>
      </w:pPr>
      <w:r>
        <w:rPr/>
        <w:t>According to Trading Dynamics, a provider of B2B Internet exchanges and auctions trading solutions, there exist four principal families of auction types that are implemented for both single-winner (single lot) and multiple-winner (divisible quantities) markets:</w:t>
      </w:r>
    </w:p>
    <w:p>
      <w:pPr>
        <w:pStyle w:val="BodyText"/>
        <w:rPr/>
      </w:pPr>
      <w:r>
        <w:rPr/>
      </w:r>
    </w:p>
    <w:p>
      <w:pPr>
        <w:pStyle w:val="BodyText"/>
        <w:numPr>
          <w:ilvl w:val="0"/>
          <w:numId w:val="18"/>
        </w:numPr>
        <w:rPr/>
      </w:pPr>
      <w:r>
        <w:rPr>
          <w:i/>
          <w:iCs/>
        </w:rPr>
        <w:t>English:</w:t>
      </w:r>
      <w:r>
        <w:rPr/>
        <w:t xml:space="preserve"> Participants bid up the price in an open outcry.  In a single-winner format, the highest bidder wins the unit/lot.  In the multi-winner format, bidders specify both a price and a quantity, and the list of winners is determined by allocating the total available quantity among the highest bidders.</w:t>
      </w:r>
    </w:p>
    <w:p>
      <w:pPr>
        <w:pStyle w:val="BodyText"/>
        <w:numPr>
          <w:ilvl w:val="0"/>
          <w:numId w:val="18"/>
        </w:numPr>
        <w:rPr/>
      </w:pPr>
      <w:r>
        <w:rPr>
          <w:i/>
          <w:iCs/>
        </w:rPr>
        <w:t>Dutch:</w:t>
      </w:r>
      <w:r>
        <w:rPr/>
        <w:t xml:space="preserve"> In a single-winner format, the system initially offers the good at a very high price, and then reduces it at some constant rate.  The first bidder to jump in wins the auction.  In a multiple-winner format, participants bid the quantity they desire at a current price, until no units remain.</w:t>
      </w:r>
    </w:p>
    <w:p>
      <w:pPr>
        <w:pStyle w:val="BodyText"/>
        <w:ind w:start="360" w:end="0"/>
        <w:rPr/>
      </w:pPr>
      <w:r>
        <w:rPr/>
      </w:r>
    </w:p>
    <w:p>
      <w:pPr>
        <w:pStyle w:val="BodyText"/>
        <w:numPr>
          <w:ilvl w:val="0"/>
          <w:numId w:val="18"/>
        </w:numPr>
        <w:rPr/>
      </w:pPr>
      <w:r>
        <w:rPr>
          <w:i/>
          <w:iCs/>
        </w:rPr>
        <w:t>Japanese:</w:t>
      </w:r>
      <w:r>
        <w:rPr/>
        <w:t xml:space="preserve"> The system starts at a low staring price and all participants indicate whether they are willing to buy the good at this price.  The system increases the price at regular interval until only one bidder remains.  IN a multi-winner format, bidders indicate the quantity they would like at a current price.  As the price increases, quantity bids are decreased until the total quantity of all bids is less than or equal to the total quantity of goods available.</w:t>
      </w:r>
    </w:p>
    <w:p>
      <w:pPr>
        <w:pStyle w:val="BodyText"/>
        <w:rPr/>
      </w:pPr>
      <w:r>
        <w:rPr/>
      </w:r>
    </w:p>
    <w:p>
      <w:pPr>
        <w:pStyle w:val="BodyText"/>
        <w:numPr>
          <w:ilvl w:val="0"/>
          <w:numId w:val="18"/>
        </w:numPr>
        <w:rPr>
          <w:i/>
          <w:i/>
          <w:iCs/>
        </w:rPr>
      </w:pPr>
      <w:r>
        <w:rPr>
          <w:i/>
          <w:iCs/>
        </w:rPr>
        <w:t xml:space="preserve">Sealed-bid: </w:t>
      </w:r>
      <w:r>
        <w:rPr/>
        <w:t>Participants are given a single opportunity to bid on the good, and, in a single-winner format, the highest bidder wins, paying either the highest or second highest price depending on the market rules.  In its multiple-winner form, two kinds of bidding are supported: either bidders specify the quantity they desire at a single price, or they submit a bid schedule by specifying a list of price/quantity bids, and the system’s clearing algorithms optimize the allocation.</w:t>
      </w:r>
    </w:p>
    <w:p>
      <w:pPr>
        <w:pStyle w:val="BodyText"/>
        <w:rPr>
          <w:i/>
          <w:i/>
          <w:iCs/>
        </w:rPr>
      </w:pPr>
      <w:r>
        <w:rPr>
          <w:i/>
          <w:iCs/>
        </w:rPr>
      </w:r>
    </w:p>
    <w:p>
      <w:pPr>
        <w:pStyle w:val="BodyText"/>
        <w:rPr>
          <w:i/>
          <w:i/>
          <w:iCs/>
        </w:rPr>
      </w:pPr>
      <w:r>
        <w:rPr>
          <w:i/>
          <w:iCs/>
        </w:rPr>
      </w:r>
    </w:p>
    <w:p>
      <w:pPr>
        <w:pStyle w:val="BodyText"/>
        <w:rPr>
          <w:i/>
          <w:i/>
          <w:iCs/>
        </w:rPr>
      </w:pPr>
      <w:r>
        <w:rPr>
          <w:i/>
          <w:iCs/>
        </w:rPr>
      </w:r>
    </w:p>
    <w:p>
      <w:pPr>
        <w:pStyle w:val="BodyText"/>
        <w:rPr>
          <w:b/>
          <w:bCs/>
          <w:sz w:val="28"/>
        </w:rPr>
      </w:pPr>
      <w:r>
        <w:rPr>
          <w:b/>
          <w:bCs/>
          <w:sz w:val="28"/>
        </w:rPr>
        <w:t>Parties Benefiting from an Auction</w:t>
      </w:r>
    </w:p>
    <w:p>
      <w:pPr>
        <w:pStyle w:val="BodyText"/>
        <w:rPr/>
      </w:pPr>
      <w:r>
        <w:rPr/>
        <w:t>Participants in an auction mechanism can be divided into two groups: the initiator and the responder.  The auction gives more power to the initiator – the party that makes the initial request, whether it be an offer to sell or a request to buy.  In a reverse auction, the initiator is the buyer and the responders, the sellers, bid against each other and provide competitive bids.  In a liquid market, the initiator receives bids that are substantially better that could be received outside the electronic marketplace.</w:t>
      </w:r>
    </w:p>
    <w:p>
      <w:pPr>
        <w:pStyle w:val="BodyText"/>
        <w:rPr/>
      </w:pPr>
      <w:r>
        <w:rPr/>
      </w:r>
    </w:p>
    <w:p>
      <w:pPr>
        <w:pStyle w:val="BodyText"/>
        <w:rPr>
          <w:b/>
          <w:bCs/>
          <w:sz w:val="28"/>
        </w:rPr>
      </w:pPr>
      <w:r>
        <w:rPr>
          <w:b/>
          <w:bCs/>
          <w:sz w:val="28"/>
        </w:rPr>
        <w:t xml:space="preserve">Market Phases </w:t>
      </w:r>
    </w:p>
    <w:p>
      <w:pPr>
        <w:pStyle w:val="BodyText"/>
        <w:rPr/>
      </w:pPr>
      <w:r>
        <w:rPr/>
        <w:t>According to Scott Ehrens and Peter Zapf, Bear Stearns analysts, the metamediary has to grow through the phases of being a secondary market, then a primary, and finally an exclusive market for its participants.  While early phases often focus on providing transaction efficiency among a small number of participants, later phases substantially reduce search costs for participants.  At the same time, early phases of growth are more likely to be characterized by transaction and service revenues, while later phases are more likely to include participation fees.  As participation in the market grows, the metamediary’s ability to provide remedies to high cost areas evolves.  A marketplace analysis needs to be performed to unearth the inherent inefficiencies such as high external transaction costs, high internal workflow costs, high search costs, and high product costs.</w:t>
      </w:r>
    </w:p>
    <w:p>
      <w:pPr>
        <w:pStyle w:val="BodyText"/>
        <w:rPr/>
      </w:pPr>
      <w:r>
        <w:rPr/>
      </w:r>
    </w:p>
    <w:p>
      <w:pPr>
        <w:pStyle w:val="BodyText"/>
        <w:rPr/>
      </w:pPr>
      <w:r>
        <w:rPr/>
        <w:t>Of the estimated $438 billion of intermediary commerce by the Year 2003, it is expected that $57 billion in savings (25% savings in supply chain cost process coupled with 10% reduction in product costs) will be generated by metamediaries.  Metamediaries will derive their revenues, in large part, from these savings.  If these organizations are able to share 40% of these savings, they will generate $23 billion in revenue in 2003.  Assuming they exhibit strong revenue growth and command a one-year-forward revenue multiple of 10X, this would give them a valuation of $228 billion in 2002.</w:t>
      </w:r>
    </w:p>
    <w:p>
      <w:pPr>
        <w:pStyle w:val="BodyText"/>
        <w:rPr>
          <w:b/>
          <w:bCs/>
          <w:sz w:val="28"/>
        </w:rPr>
      </w:pPr>
      <w:r>
        <w:rPr>
          <w:b/>
          <w:bCs/>
          <w:sz w:val="28"/>
        </w:rPr>
        <w:t>Characteristics of Markets Requiring Intermediaries</w:t>
      </w:r>
    </w:p>
    <w:p>
      <w:pPr>
        <w:pStyle w:val="BodyText"/>
        <w:rPr/>
      </w:pPr>
      <w:r>
        <w:rPr/>
        <w:t>Although each industry has its own unique inefficiencies, there are market characteristics that help define which industries will better support a metamediary.  The more of these characteristics that exist, the more likely an intermediary will be able to provide enough value to attract users.</w:t>
      </w:r>
    </w:p>
    <w:p>
      <w:pPr>
        <w:pStyle w:val="BodyText"/>
        <w:rPr/>
      </w:pPr>
      <w:r>
        <w:rPr/>
      </w:r>
    </w:p>
    <w:p>
      <w:pPr>
        <w:pStyle w:val="BodyText"/>
        <w:numPr>
          <w:ilvl w:val="0"/>
          <w:numId w:val="4"/>
        </w:numPr>
        <w:rPr>
          <w:i/>
          <w:i/>
          <w:iCs/>
        </w:rPr>
      </w:pPr>
      <w:r>
        <w:rPr>
          <w:i/>
          <w:iCs/>
        </w:rPr>
        <w:t xml:space="preserve">Large Market Size.  </w:t>
      </w:r>
      <w:r>
        <w:rPr/>
        <w:t>An industry that supports a large dollar volume of transactions is likely to support a metamediary.  A reasonable rule of thumb is $10 billion in underlying transactions.</w:t>
      </w:r>
    </w:p>
    <w:p>
      <w:pPr>
        <w:pStyle w:val="BodyText"/>
        <w:ind w:start="360" w:end="0"/>
        <w:rPr>
          <w:i/>
          <w:i/>
          <w:iCs/>
        </w:rPr>
      </w:pPr>
      <w:r>
        <w:rPr>
          <w:i/>
          <w:iCs/>
        </w:rPr>
      </w:r>
    </w:p>
    <w:p>
      <w:pPr>
        <w:pStyle w:val="BodyText"/>
        <w:numPr>
          <w:ilvl w:val="0"/>
          <w:numId w:val="4"/>
        </w:numPr>
        <w:rPr>
          <w:i/>
          <w:i/>
          <w:iCs/>
        </w:rPr>
      </w:pPr>
      <w:r>
        <w:rPr>
          <w:i/>
          <w:iCs/>
        </w:rPr>
        <w:t xml:space="preserve">Fragmented Supply Chain.  </w:t>
      </w:r>
      <w:r>
        <w:rPr/>
        <w:t xml:space="preserve">Preferably, there are a large number of buyers and sellers that have trouble finding each other.  This results in high vendor search costs.  </w:t>
      </w:r>
    </w:p>
    <w:p>
      <w:pPr>
        <w:pStyle w:val="BodyText"/>
        <w:rPr>
          <w:i/>
          <w:i/>
          <w:iCs/>
        </w:rPr>
      </w:pPr>
      <w:r>
        <w:rPr>
          <w:i/>
          <w:iCs/>
        </w:rPr>
      </w:r>
    </w:p>
    <w:p>
      <w:pPr>
        <w:pStyle w:val="BodyText"/>
        <w:numPr>
          <w:ilvl w:val="0"/>
          <w:numId w:val="4"/>
        </w:numPr>
        <w:rPr>
          <w:i/>
          <w:i/>
          <w:iCs/>
        </w:rPr>
      </w:pPr>
      <w:r>
        <w:rPr>
          <w:i/>
          <w:iCs/>
        </w:rPr>
        <w:t xml:space="preserve">Unrecognized Vendor or Product Differentiation.  </w:t>
      </w:r>
      <w:r>
        <w:rPr/>
        <w:t>The fragmented group of buyers and sellers often result in unrecognized vendor or product differentiation.  The differentiation is often thought of as price, but it can be based on other dimensions of value, including product availability, support, and delivery.  Note that if there is no differentiation among buyers and sellers, there is no value offered by allowing new buyers and sellers to find each other.</w:t>
      </w:r>
    </w:p>
    <w:p>
      <w:pPr>
        <w:pStyle w:val="BodyText"/>
        <w:rPr>
          <w:i/>
          <w:i/>
          <w:iCs/>
        </w:rPr>
      </w:pPr>
      <w:r>
        <w:rPr>
          <w:i/>
          <w:iCs/>
        </w:rPr>
      </w:r>
    </w:p>
    <w:p>
      <w:pPr>
        <w:pStyle w:val="BodyText"/>
        <w:numPr>
          <w:ilvl w:val="0"/>
          <w:numId w:val="4"/>
        </w:numPr>
        <w:rPr>
          <w:i/>
          <w:i/>
          <w:iCs/>
        </w:rPr>
      </w:pPr>
      <w:r>
        <w:rPr>
          <w:i/>
          <w:iCs/>
        </w:rPr>
        <w:t xml:space="preserve">High Information Search Costs.  </w:t>
      </w:r>
      <w:r>
        <w:rPr/>
        <w:t>Rapidly changing product information can result in high information search costs even if the search concludes that there is no vendor or product differentiation.  Factors underlying high information costs include rapid product introductions, rapid inventory changes, and rapid price changes.</w:t>
      </w:r>
    </w:p>
    <w:p>
      <w:pPr>
        <w:pStyle w:val="BodyText"/>
        <w:rPr>
          <w:i/>
          <w:i/>
          <w:iCs/>
        </w:rPr>
      </w:pPr>
      <w:r>
        <w:rPr>
          <w:i/>
          <w:iCs/>
        </w:rPr>
      </w:r>
    </w:p>
    <w:p>
      <w:pPr>
        <w:pStyle w:val="BodyText"/>
        <w:numPr>
          <w:ilvl w:val="0"/>
          <w:numId w:val="4"/>
        </w:numPr>
        <w:rPr>
          <w:i/>
          <w:i/>
          <w:iCs/>
        </w:rPr>
      </w:pPr>
      <w:r>
        <w:rPr>
          <w:i/>
          <w:iCs/>
        </w:rPr>
        <w:t xml:space="preserve">High Product Comparison Costs.  </w:t>
      </w:r>
      <w:r>
        <w:rPr/>
        <w:t>Often, buyers have difficulty comparing similar products (or more complex products) from multiple vendors because they are not clearly differentiated.  This is typically because products have many features and characteristics, not all of which are easy to find or clearly defined.</w:t>
      </w:r>
    </w:p>
    <w:p>
      <w:pPr>
        <w:pStyle w:val="BodyText"/>
        <w:rPr>
          <w:i/>
          <w:i/>
          <w:iCs/>
        </w:rPr>
      </w:pPr>
      <w:r>
        <w:rPr>
          <w:i/>
          <w:iCs/>
        </w:rPr>
      </w:r>
    </w:p>
    <w:p>
      <w:pPr>
        <w:pStyle w:val="BodyText"/>
        <w:numPr>
          <w:ilvl w:val="0"/>
          <w:numId w:val="4"/>
        </w:numPr>
        <w:rPr>
          <w:i/>
          <w:i/>
          <w:iCs/>
        </w:rPr>
      </w:pPr>
      <w:r>
        <w:rPr>
          <w:i/>
          <w:iCs/>
        </w:rPr>
        <w:t xml:space="preserve">High Workflow Costs.  </w:t>
      </w:r>
      <w:r>
        <w:rPr/>
        <w:t>Often, the workflow costs with a purchase can be high.  These can include internal procurement processes, credit verification processes, or logistics tracking processes.</w:t>
      </w:r>
    </w:p>
    <w:p>
      <w:pPr>
        <w:pStyle w:val="BodyText"/>
        <w:rPr>
          <w:i/>
          <w:i/>
          <w:iCs/>
        </w:rPr>
      </w:pPr>
      <w:r>
        <w:rPr>
          <w:i/>
          <w:iCs/>
        </w:rPr>
      </w:r>
    </w:p>
    <w:p>
      <w:pPr>
        <w:pStyle w:val="BodyText"/>
        <w:rPr>
          <w:i/>
          <w:i/>
          <w:iCs/>
        </w:rPr>
      </w:pPr>
      <w:r>
        <w:rPr>
          <w:i/>
          <w:iCs/>
        </w:rPr>
      </w:r>
    </w:p>
    <w:p>
      <w:pPr>
        <w:pStyle w:val="BodyText"/>
        <w:rPr>
          <w:b/>
          <w:bCs/>
          <w:sz w:val="28"/>
        </w:rPr>
      </w:pPr>
      <w:r>
        <w:rPr>
          <w:b/>
          <w:bCs/>
          <w:sz w:val="28"/>
        </w:rPr>
        <w:t>B2BeC Conducted Through Metamediaries in 2003</w:t>
      </w:r>
    </w:p>
    <w:p>
      <w:pPr>
        <w:pStyle w:val="BodyText"/>
        <w:rPr>
          <w:b/>
          <w:bCs/>
          <w:sz w:val="28"/>
        </w:rPr>
      </w:pPr>
      <w:r>
        <w:rPr>
          <w:b/>
          <w:bCs/>
          <w:sz w:val="28"/>
        </w:rPr>
      </w:r>
    </w:p>
    <w:tbl>
      <w:tblPr>
        <w:tblW w:w="5904" w:type="dxa"/>
        <w:jc w:val="start"/>
        <w:tblInd w:w="0" w:type="dxa"/>
        <w:tblLayout w:type="fixed"/>
        <w:tblCellMar>
          <w:top w:w="0" w:type="dxa"/>
          <w:start w:w="108" w:type="dxa"/>
          <w:bottom w:w="0" w:type="dxa"/>
          <w:end w:w="108" w:type="dxa"/>
        </w:tblCellMar>
      </w:tblPr>
      <w:tblGrid>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INDUSTRY</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 IN BILLIONS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Energy</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90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Chemicals</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90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Food and Agriculture</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55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Computing &amp; Electronics</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40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Non-Production (MRO)</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35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Motor Vehicles</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Construction</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25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Business Travel</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20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Shipping &amp; Warehousing</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15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Professional</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10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Pharmaceutical &amp; Med.</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10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Consumer Goods</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8</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Admin. Support</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8</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Telecom</w:t>
            </w:r>
          </w:p>
        </w:tc>
        <w:tc>
          <w:tcPr>
            <w:tcW w:w="2952" w:type="dxa"/>
            <w:tcBorders>
              <w:top w:val="single" w:sz="4" w:space="0" w:color="000000"/>
              <w:start w:val="single" w:sz="4" w:space="0" w:color="000000"/>
              <w:bottom w:val="single" w:sz="4" w:space="0" w:color="000000"/>
              <w:end w:val="single" w:sz="4" w:space="0" w:color="000000"/>
            </w:tcBorders>
          </w:tcPr>
          <w:p>
            <w:pPr>
              <w:pStyle w:val="BodyText"/>
              <w:jc w:val="center"/>
              <w:rPr/>
            </w:pPr>
            <w:r>
              <w:rPr/>
              <w:t>5</w:t>
            </w:r>
          </w:p>
        </w:tc>
      </w:tr>
    </w:tbl>
    <w:p>
      <w:pPr>
        <w:pStyle w:val="BodyText"/>
        <w:rPr>
          <w:i/>
          <w:i/>
          <w:iCs/>
        </w:rPr>
      </w:pPr>
      <w:r>
        <w:rPr>
          <w:i/>
          <w:iCs/>
        </w:rPr>
        <w:t>According to the Bear Stearns Industry Report</w:t>
      </w:r>
    </w:p>
    <w:p>
      <w:pPr>
        <w:pStyle w:val="BodyText"/>
        <w:rPr>
          <w:b/>
          <w:bCs/>
          <w:i/>
          <w:i/>
          <w:iCs/>
          <w:sz w:val="28"/>
        </w:rPr>
      </w:pPr>
      <w:r>
        <w:rPr>
          <w:b/>
          <w:bCs/>
          <w:i/>
          <w:i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B2BeC by Industry in 2003</w:t>
      </w:r>
    </w:p>
    <w:p>
      <w:pPr>
        <w:pStyle w:val="BodyText"/>
        <w:rPr>
          <w:b/>
          <w:bCs/>
          <w:sz w:val="28"/>
        </w:rPr>
      </w:pPr>
      <w:r>
        <w:rPr>
          <w:b/>
          <w:bCs/>
          <w:sz w:val="28"/>
        </w:rPr>
      </w:r>
    </w:p>
    <w:tbl>
      <w:tblPr>
        <w:tblW w:w="8131" w:type="dxa"/>
        <w:jc w:val="start"/>
        <w:tblInd w:w="0" w:type="dxa"/>
        <w:tblLayout w:type="fixed"/>
        <w:tblCellMar>
          <w:top w:w="0" w:type="dxa"/>
          <w:start w:w="108" w:type="dxa"/>
          <w:bottom w:w="0" w:type="dxa"/>
          <w:end w:w="108" w:type="dxa"/>
        </w:tblCellMar>
      </w:tblPr>
      <w:tblGrid>
        <w:gridCol w:w="3871"/>
        <w:gridCol w:w="1420"/>
        <w:gridCol w:w="1420"/>
        <w:gridCol w:w="1420"/>
      </w:tblGrid>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INDUSTRY</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Total Revenue in $Billion</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 Online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B2BeC MARKET SHARE</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Chemicals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$349</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23.37%</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Computer (HW, SW, Networking)</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$221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35%</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14.70%</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Industrial Equipment</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$140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9.34%</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Energy (Oil, Gas, Mining)</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$133</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16%</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8.89%</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Agriculture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8.25%</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Government Spending to Businesses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$94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5%</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6.26%</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Paper</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$93</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6.19%</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Aerospace and Defense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$77</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35%</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5.10%</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Information Services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$53</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3.54%</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Motor Vehicles and Parts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$47</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18%</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3.14%</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Transportation Freight</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$41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2.70%</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Pharmaceutical</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$28</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9%</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1.88%</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Construction and Real Estate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$26</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1.75%</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Financial Services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1.59%</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Medical Equipment &amp; Transport</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17%</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1.58%</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Food/Beverage/Tobacco Manufact.</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0.79%</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Consumer Products (Intrabusiness)</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1%</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0.78%</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Electronics (non-defense)</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$4</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25%</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pPr>
            <w:r>
              <w:rPr/>
              <w:t>0.26%</w:t>
            </w:r>
          </w:p>
        </w:tc>
      </w:tr>
      <w:tr>
        <w:trPr/>
        <w:tc>
          <w:tcPr>
            <w:tcW w:w="3871"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Total</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$1500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100%</w:t>
            </w:r>
          </w:p>
        </w:tc>
        <w:tc>
          <w:tcPr>
            <w:tcW w:w="1420" w:type="dxa"/>
            <w:tcBorders>
              <w:top w:val="single" w:sz="4" w:space="0" w:color="000000"/>
              <w:start w:val="single" w:sz="4" w:space="0" w:color="000000"/>
              <w:bottom w:val="single" w:sz="4" w:space="0" w:color="000000"/>
              <w:end w:val="single" w:sz="4" w:space="0" w:color="000000"/>
            </w:tcBorders>
          </w:tcPr>
          <w:p>
            <w:pPr>
              <w:pStyle w:val="BodyText"/>
              <w:spacing w:lineRule="auto" w:line="240"/>
              <w:jc w:val="center"/>
              <w:rPr>
                <w:b/>
                <w:bCs/>
              </w:rPr>
            </w:pPr>
            <w:r>
              <w:rPr>
                <w:b/>
                <w:bCs/>
              </w:rPr>
              <w:t>100%</w:t>
            </w:r>
          </w:p>
        </w:tc>
      </w:tr>
    </w:tbl>
    <w:p>
      <w:pPr>
        <w:pStyle w:val="BodyText"/>
        <w:spacing w:lineRule="auto" w:line="240"/>
        <w:rPr>
          <w:i/>
          <w:i/>
          <w:iCs/>
        </w:rPr>
      </w:pPr>
      <w:r>
        <w:rPr>
          <w:i/>
          <w:iCs/>
        </w:rPr>
        <w:t>According to a Goldman Sachs Investment Research</w:t>
      </w:r>
    </w:p>
    <w:p>
      <w:pPr>
        <w:pStyle w:val="BodyText"/>
        <w:spacing w:lineRule="auto" w:line="240"/>
        <w:rPr>
          <w:i/>
          <w:i/>
          <w:iCs/>
        </w:rPr>
      </w:pPr>
      <w:r>
        <w:rPr>
          <w:i/>
          <w:iCs/>
        </w:rPr>
      </w:r>
      <w:r>
        <w:br w:type="page"/>
      </w:r>
    </w:p>
    <w:p>
      <w:pPr>
        <w:pStyle w:val="BodyText"/>
        <w:rPr>
          <w:b/>
          <w:bCs/>
          <w:sz w:val="28"/>
        </w:rPr>
      </w:pPr>
      <w:r>
        <w:rPr>
          <w:b/>
          <w:bCs/>
          <w:sz w:val="28"/>
        </w:rPr>
        <w:t>Supply Chain Management</w:t>
      </w:r>
    </w:p>
    <w:p>
      <w:pPr>
        <w:pStyle w:val="BodyText"/>
        <w:rPr/>
      </w:pPr>
      <w:r>
        <w:rPr/>
        <w:t>The supply chain makes up the single largest cost component of an enterprise’s revenues – typically 55-85% of the sales dollars.  Beginning with defining a customer’s wants and needs, and culminating with fulfilling them, your organization’s supply chain represents a complex array of business processes, decisions, and resource commitments, unsurpassed by any other dimension of the organization.  It is comprised of two essential elements: strategic sourcing and strategic logistics.  These elements include the flow of information, business processes, and decisions to specify, design, plan, purchase, transport, warehouse, inventory, and deliver materials and services to internal and external customers.  Most importantly, the supply chain integrates all decisions, processes, and activities on a lowest-total-cost life cycle basis from raw materials to end-user.</w:t>
      </w:r>
    </w:p>
    <w:p>
      <w:pPr>
        <w:pStyle w:val="BodyText"/>
        <w:rPr/>
      </w:pPr>
      <w:r>
        <w:rPr/>
      </w:r>
    </w:p>
    <w:p>
      <w:pPr>
        <w:pStyle w:val="BodyText"/>
        <w:rPr/>
      </w:pPr>
      <w:r>
        <w:rPr/>
        <w:t>The efficiency and effectiveness of these processes are quickly becoming the industry-competitive differentiators.  Strategic sourcing and logistics integrates core business and customer needs in best-of-breed supply base capabilities.  It helps companies routinely achieve double-digit price/cost reductions and drives profitability upwards.  In fact, according to Integrated Strategies, profits can typically increase 20-60% by reducing supply chain cost a mere 10%.</w:t>
      </w:r>
      <w:r>
        <w:br w:type="page"/>
      </w:r>
    </w:p>
    <w:p>
      <w:pPr>
        <w:pStyle w:val="BodyText"/>
        <w:rPr>
          <w:b/>
          <w:bCs/>
          <w:sz w:val="36"/>
        </w:rPr>
      </w:pPr>
      <w:r>
        <w:rPr>
          <w:b/>
          <w:bCs/>
          <w:sz w:val="36"/>
        </w:rPr>
        <w:t>THE COMPETITIVE LANDSCAPE AND THE CUSTOMER</w:t>
      </w:r>
    </w:p>
    <w:p>
      <w:pPr>
        <w:pStyle w:val="BodyText"/>
        <w:spacing w:lineRule="auto" w:line="240"/>
        <w:rPr>
          <w:sz w:val="36"/>
        </w:rPr>
      </w:pPr>
      <w:r>
        <w:rPr>
          <w:sz w:val="36"/>
        </w:rPr>
        <w:t>___________________________________________</w:t>
      </w:r>
    </w:p>
    <w:p>
      <w:pPr>
        <w:pStyle w:val="BodyText"/>
        <w:rPr>
          <w:sz w:val="36"/>
        </w:rPr>
      </w:pPr>
      <w:r>
        <w:rPr>
          <w:sz w:val="36"/>
        </w:rPr>
      </w:r>
    </w:p>
    <w:p>
      <w:pPr>
        <w:pStyle w:val="BodyText"/>
        <w:rPr>
          <w:b/>
          <w:bCs/>
          <w:sz w:val="28"/>
        </w:rPr>
      </w:pPr>
      <w:r>
        <w:rPr>
          <w:b/>
          <w:bCs/>
          <w:sz w:val="28"/>
        </w:rPr>
        <w:t>The Competitive Landscape</w:t>
      </w:r>
    </w:p>
    <w:p>
      <w:pPr>
        <w:pStyle w:val="BodyText"/>
        <w:rPr/>
      </w:pPr>
      <w:r>
        <w:rPr/>
        <w:t>Metamediaries will continue to expand the ways in which they help buyers and sellers cut costs, tying them even more closely to the business processes they support.  Marketspaces like Chemdex (chemical) and works.com (office supplies) are beginning to provide procurement solutions that will clash with enterprise procurement solutions such as those from Ariba and CommerceOne.  Meanwhile, front office software vendors such as ChannelPoint (health insurance) and Ariba (procurement) are moving from the front office to provide marketspaces.  Bear Stearns analysts believe that marketspaces that don’t require deep integration into a company’s existing business processes will survive on their own.  Others that need deeper integration will ultimately have to partner with third-party procurement vendors.</w:t>
      </w:r>
    </w:p>
    <w:p>
      <w:pPr>
        <w:pStyle w:val="BodyText"/>
        <w:rPr/>
      </w:pPr>
      <w:r>
        <w:rPr/>
      </w:r>
    </w:p>
    <w:p>
      <w:pPr>
        <w:pStyle w:val="BodyText"/>
        <w:rPr/>
      </w:pPr>
      <w:r>
        <w:rPr/>
        <w:t>Some businesses may find there are several dominant metamediaries in their industry and may want to participate in each of their marketspaces (e.g. electronics, chemical, health).  This is especially true in the horizontal service markets such as shipping and RFQ services that cross multiple vertical markets.  As a result, ERP vendors and metamediaries will build interfaces into their software to facilitate multi-marketspace participation.  In such industries, the marketspaces will gain even more participation and offer even more value.</w:t>
      </w:r>
    </w:p>
    <w:p>
      <w:pPr>
        <w:pStyle w:val="BodyText"/>
        <w:rPr/>
      </w:pPr>
      <w:r>
        <w:rPr/>
      </w:r>
    </w:p>
    <w:p>
      <w:pPr>
        <w:pStyle w:val="BodyText"/>
        <w:rPr/>
      </w:pPr>
      <w:r>
        <w:rPr/>
        <w:t>Instead of requiring buyers and sellers to rely on their own forecasts to determine purchase levels, metamediaries will provide additional market information to further refine these projections.  Based on this combined information, more refined automated replenishment will be able to take place.  The benefits of collaborative procurement revolve around better inventory management throughout the supply chain.  Instead of requiring users to manually enter purchase or sale requests, the metamediary will enable them to enter complex logic describing if and when they would like an automated transaction to occur.</w:t>
      </w:r>
    </w:p>
    <w:p>
      <w:pPr>
        <w:pStyle w:val="BodyText"/>
        <w:rPr/>
      </w:pPr>
      <w:r>
        <w:rPr/>
      </w:r>
    </w:p>
    <w:p>
      <w:pPr>
        <w:pStyle w:val="BodyText"/>
        <w:rPr/>
      </w:pPr>
      <w:r>
        <w:rPr/>
        <w:t>Companies like FedEx provide progress tracking that allows a user to locate roughly where a package is located. Other metamediaries will provide real-time, graphical feedback regarding the current status of other processes such as manufacturing, payment, etc.  These intermediaries will support tracking multiple dependent tasks among multiple supply chain participants and notify the user of exception situations.  Via the intermediary, the user will respond to these exceptions by doing things like re-routing orders, buying on the spot market, or rearranging other processes.  These intermediaries will be very sticky, because users will stay on them to monitor processes, and will leverage that stickiness to a variety of revenue streams including software licenses and transaction fees from a variety of business participants – both vertical and horizontal.</w:t>
      </w:r>
    </w:p>
    <w:p>
      <w:pPr>
        <w:pStyle w:val="BodyText"/>
        <w:rPr/>
      </w:pPr>
      <w:r>
        <w:rPr/>
      </w:r>
    </w:p>
    <w:p>
      <w:pPr>
        <w:pStyle w:val="BodyText"/>
        <w:rPr>
          <w:b/>
          <w:bCs/>
          <w:sz w:val="28"/>
        </w:rPr>
      </w:pPr>
      <w:r>
        <w:rPr>
          <w:b/>
          <w:bCs/>
          <w:sz w:val="28"/>
        </w:rPr>
        <w:t>The ASP: No Longer a Theoretical Concept</w:t>
      </w:r>
    </w:p>
    <w:p>
      <w:pPr>
        <w:pStyle w:val="BodyText"/>
        <w:rPr/>
      </w:pPr>
      <w:r>
        <w:rPr/>
        <w:t>According to Joel Dreyfuss, Columnist for Fortune Magazine, an Application Service Provider (ASP) is defined as a business that makes a software application for use over the Internet.  A user logs on to an ASP’s site, and the Web browser gives him or her access to a product that in the past would have been installed on the user’s desktop computer or network.  ASPs promise a boon for small businesses that can’t afford to manage large and complex applications or don’t have the expertise.  The big advantage is that the application is already on a server, where it will be backed up, and maintained without additional effort on one’s part.  And because it is on the Internet, it will be visible to whomever you want.</w:t>
      </w:r>
    </w:p>
    <w:p>
      <w:pPr>
        <w:pStyle w:val="BodyText"/>
        <w:rPr/>
      </w:pPr>
      <w:r>
        <w:rPr/>
      </w:r>
    </w:p>
    <w:p>
      <w:pPr>
        <w:pStyle w:val="BodyText"/>
        <w:rPr/>
      </w:pPr>
      <w:r>
        <w:rPr/>
      </w:r>
    </w:p>
    <w:p>
      <w:pPr>
        <w:pStyle w:val="BodyText"/>
        <w:rPr/>
      </w:pPr>
      <w:r>
        <w:rPr/>
      </w:r>
    </w:p>
    <w:p>
      <w:pPr>
        <w:pStyle w:val="BodyText"/>
        <w:rPr>
          <w:b/>
          <w:bCs/>
          <w:sz w:val="28"/>
        </w:rPr>
      </w:pPr>
      <w:r>
        <w:rPr>
          <w:b/>
          <w:bCs/>
          <w:sz w:val="28"/>
        </w:rPr>
        <w:t>Trading Hubs</w:t>
      </w:r>
    </w:p>
    <w:p>
      <w:pPr>
        <w:pStyle w:val="BodyText"/>
        <w:rPr/>
      </w:pPr>
      <w:r>
        <w:rPr/>
        <w:t>According to Walid Mougayar, Author of Opening Digital Markets, trading hubs such as Ariba’s Ariba network (ariba.com) and Commerce One’s  MarketSite (marketsite.net) are emerging as another popular model.  They have the potential to be the cutting edge of ecommerce, but they currently are costly and require proprietary linkages, practices similar to restricted clubs with private access and participation.  The fast-growing e-trading marketplaces are also riddled with rigid rules of participation and operation.  That’s what makes them efficient.  On the other hand, they seem to have attracted the elite of ecommerce participants, and that’s detrimental to the evolution of healthy marketplaces.  The result is a private network of companies – which sounds like old-style EDI closed networks.  Most walk-ins would probably fail the entrance exam.</w:t>
      </w:r>
    </w:p>
    <w:p>
      <w:pPr>
        <w:pStyle w:val="BodyText"/>
        <w:rPr/>
      </w:pPr>
      <w:r>
        <w:rPr/>
      </w:r>
    </w:p>
    <w:p>
      <w:pPr>
        <w:pStyle w:val="BodyText"/>
        <w:rPr/>
      </w:pPr>
      <w:r>
        <w:rPr/>
        <w:t>The exclusive approach squeezes small and midsize businesses out of the game.  They wait idly by while large organizations build and defend their proprietary islands of e-trading activities.  Even if smaller players are invited to join, the cost of implementation and technology adoption of this vast array of proprietary technology works against any ROI models.  One reason for this private club behavior is that openness and interoperability have not been a priority for online businesses.  The primary goal is to focus on the unique functionality required to secure first-mover’s advantage.  Preferred companies get in first to make the club bigger, and proprietary technology is pushed further out to the point of becoming a de facto standard.</w:t>
      </w:r>
    </w:p>
    <w:p>
      <w:pPr>
        <w:pStyle w:val="BodyText"/>
        <w:rPr/>
      </w:pPr>
      <w:r>
        <w:rPr/>
      </w:r>
    </w:p>
    <w:p>
      <w:pPr>
        <w:pStyle w:val="BodyText"/>
        <w:rPr/>
      </w:pPr>
      <w:r>
        <w:rPr/>
        <w:t>But an openness seems to be creeping into these once-exclusive clubs.  Ariba, for instance, is laying bridges between its own marketplace and other ones such as procurement services of PurchasePro.com, GetThere.com, and Cisco.com.  These examples prove that diverse e-markets can do business with each other.  We need another generation of trading hubs or B2B marketplaces focused on the needs of Small and Medium size Businesses (SMBs).  They should be open, granting easy access.  Second, they should include methods of translating technology rather than imposing it.  Finally, they should provide accurate content organization, making the whole market bigger than the sum of its individual components.  Any buyer can find any seller, and vice-versa.</w:t>
      </w:r>
    </w:p>
    <w:p>
      <w:pPr>
        <w:pStyle w:val="BodyText"/>
        <w:rPr/>
      </w:pPr>
      <w:r>
        <w:rPr/>
      </w:r>
    </w:p>
    <w:p>
      <w:pPr>
        <w:pStyle w:val="BodyText"/>
        <w:rPr>
          <w:b/>
          <w:bCs/>
          <w:sz w:val="28"/>
        </w:rPr>
      </w:pPr>
      <w:r>
        <w:rPr>
          <w:b/>
          <w:bCs/>
          <w:sz w:val="28"/>
        </w:rPr>
        <w:t>Keep an Eye on These Players</w:t>
      </w:r>
    </w:p>
    <w:p>
      <w:pPr>
        <w:pStyle w:val="BodyText"/>
        <w:rPr/>
      </w:pPr>
      <w:r>
        <w:rPr/>
        <w:t>Although an in-depth analysis of the competitive landscape is beyond the scope of this document, it is useful to understand the competitive forces at play.  There exist today over 200 known metamediaries engaging in both vertical industries and horizontal services.  There exist today no known players engaged in offering real-time multi-dimensional RFQ e-procurement services such as Perfect.com’s.  The following is a partial list of players to keep a watchful eye on as they deploy ever more competitive e-procurement services:</w:t>
      </w:r>
    </w:p>
    <w:p>
      <w:pPr>
        <w:pStyle w:val="BodyText"/>
        <w:rPr/>
      </w:pPr>
      <w:r>
        <w:rPr/>
      </w:r>
    </w:p>
    <w:p>
      <w:pPr>
        <w:pStyle w:val="BodyText"/>
        <w:numPr>
          <w:ilvl w:val="0"/>
          <w:numId w:val="12"/>
        </w:numPr>
        <w:rPr>
          <w:i/>
          <w:i/>
          <w:iCs/>
        </w:rPr>
      </w:pPr>
      <w:r>
        <w:rPr>
          <w:i/>
          <w:iCs/>
        </w:rPr>
        <w:t xml:space="preserve">Trading Dynamics (merged with Ariba): </w:t>
      </w:r>
      <w:r>
        <w:rPr/>
        <w:t>Their TD Market Suite is a family of highly configurable applications for deploying Internet exchanges and auctions (including reverse-auctions).  B2B marketplaces can be quickly, easily, and precisely customized for specific trading situations by setting a series of switches.  The switches control rules such as market type, timing, disclosure, and permissions.</w:t>
      </w:r>
    </w:p>
    <w:p>
      <w:pPr>
        <w:pStyle w:val="BodyText"/>
        <w:ind w:start="480" w:end="0"/>
        <w:rPr>
          <w:i/>
          <w:i/>
          <w:iCs/>
        </w:rPr>
      </w:pPr>
      <w:r>
        <w:rPr>
          <w:i/>
          <w:iCs/>
        </w:rPr>
      </w:r>
    </w:p>
    <w:p>
      <w:pPr>
        <w:pStyle w:val="BodyText"/>
        <w:numPr>
          <w:ilvl w:val="0"/>
          <w:numId w:val="12"/>
        </w:numPr>
        <w:rPr>
          <w:i/>
          <w:i/>
          <w:iCs/>
        </w:rPr>
      </w:pPr>
      <w:r>
        <w:rPr>
          <w:i/>
          <w:iCs/>
        </w:rPr>
        <w:t xml:space="preserve">Moai Technologies: </w:t>
      </w:r>
      <w:r>
        <w:rPr/>
        <w:t>Their LiveExchange solutions allow companies to create secure, extensible, and scalable public or private auctions and trading exchanges for the B2B arena.  The LiveExchange ASP product is designed for broad-based portals and service providers supporting dynamic commerce capabilities.</w:t>
      </w:r>
    </w:p>
    <w:p>
      <w:pPr>
        <w:pStyle w:val="BodyText"/>
        <w:rPr>
          <w:i/>
          <w:i/>
          <w:iCs/>
        </w:rPr>
      </w:pPr>
      <w:r>
        <w:rPr>
          <w:i/>
          <w:iCs/>
        </w:rPr>
      </w:r>
    </w:p>
    <w:p>
      <w:pPr>
        <w:pStyle w:val="BodyText"/>
        <w:numPr>
          <w:ilvl w:val="0"/>
          <w:numId w:val="12"/>
        </w:numPr>
        <w:rPr>
          <w:i/>
          <w:i/>
          <w:iCs/>
        </w:rPr>
      </w:pPr>
      <w:r>
        <w:rPr>
          <w:i/>
          <w:iCs/>
        </w:rPr>
        <w:t xml:space="preserve">PurchasePro.com: </w:t>
      </w:r>
      <w:r>
        <w:rPr/>
        <w:t>Their public e-marketplace and private e-marketplace tools streamline the entire internal and external procurement cycle – from request, to order, to payment – for both the buyer and supplier.</w:t>
      </w:r>
    </w:p>
    <w:p>
      <w:pPr>
        <w:pStyle w:val="BodyText"/>
        <w:rPr>
          <w:i/>
          <w:i/>
          <w:iCs/>
        </w:rPr>
      </w:pPr>
      <w:r>
        <w:rPr>
          <w:i/>
          <w:iCs/>
        </w:rPr>
      </w:r>
    </w:p>
    <w:p>
      <w:pPr>
        <w:pStyle w:val="BodyText"/>
        <w:numPr>
          <w:ilvl w:val="0"/>
          <w:numId w:val="12"/>
        </w:numPr>
        <w:rPr>
          <w:i/>
          <w:i/>
          <w:iCs/>
        </w:rPr>
      </w:pPr>
      <w:r>
        <w:rPr>
          <w:i/>
          <w:iCs/>
        </w:rPr>
        <w:t xml:space="preserve">Works.com: </w:t>
      </w:r>
      <w:r>
        <w:rPr/>
        <w:t>Their ASP product allows a buyer to automate his/her procurement management activities – from purchase request and approval to ordering, tracking, and reporting.  The product allows a buyer to automate and mange a purchase for only $1.50 per order.</w:t>
      </w:r>
    </w:p>
    <w:p>
      <w:pPr>
        <w:pStyle w:val="BodyText"/>
        <w:numPr>
          <w:ilvl w:val="0"/>
          <w:numId w:val="12"/>
        </w:numPr>
        <w:rPr>
          <w:i/>
          <w:i/>
          <w:iCs/>
        </w:rPr>
      </w:pPr>
      <w:r>
        <w:rPr>
          <w:i/>
          <w:iCs/>
        </w:rPr>
        <w:t xml:space="preserve">OnVia.com: </w:t>
      </w:r>
      <w:r>
        <w:rPr/>
        <w:t>Their site matches buyers and sellers through a RFQ service.  The company focuses on small business products and services.</w:t>
      </w:r>
    </w:p>
    <w:p>
      <w:pPr>
        <w:pStyle w:val="BodyText"/>
        <w:ind w:start="480" w:end="0"/>
        <w:rPr>
          <w:i/>
          <w:i/>
          <w:iCs/>
        </w:rPr>
      </w:pPr>
      <w:r>
        <w:rPr>
          <w:i/>
          <w:iCs/>
        </w:rPr>
      </w:r>
    </w:p>
    <w:p>
      <w:pPr>
        <w:pStyle w:val="BodyText"/>
        <w:numPr>
          <w:ilvl w:val="0"/>
          <w:numId w:val="12"/>
        </w:numPr>
        <w:rPr>
          <w:i/>
          <w:i/>
          <w:iCs/>
        </w:rPr>
      </w:pPr>
      <w:r>
        <w:rPr>
          <w:i/>
          <w:iCs/>
        </w:rPr>
        <w:t xml:space="preserve">Respond.com: </w:t>
      </w:r>
      <w:r>
        <w:rPr/>
        <w:t>The buyer fills out a Request Form and submits it anonymously.  Registered sellers then respond to the request.  Although the service is focused primarily in the B2C arena, don’t be surprised if they come out with a B2B strategy.</w:t>
      </w:r>
    </w:p>
    <w:p>
      <w:pPr>
        <w:pStyle w:val="BodyText"/>
        <w:rPr>
          <w:i/>
          <w:i/>
          <w:iCs/>
        </w:rPr>
      </w:pPr>
      <w:r>
        <w:rPr>
          <w:i/>
          <w:iCs/>
        </w:rPr>
      </w:r>
    </w:p>
    <w:p>
      <w:pPr>
        <w:pStyle w:val="BodyText"/>
        <w:numPr>
          <w:ilvl w:val="0"/>
          <w:numId w:val="12"/>
        </w:numPr>
        <w:rPr>
          <w:i/>
          <w:i/>
          <w:iCs/>
        </w:rPr>
      </w:pPr>
      <w:r>
        <w:rPr>
          <w:i/>
          <w:iCs/>
        </w:rPr>
        <w:t xml:space="preserve">BizBuyer.com: </w:t>
      </w:r>
      <w:r>
        <w:rPr/>
        <w:t>The site allows buyers to connect with pre-qualified suppliers free of charge, compare quotes, and make the right purchasing decision fast.  The company focuses primarily on small businesses needs.</w:t>
      </w:r>
    </w:p>
    <w:p>
      <w:pPr>
        <w:pStyle w:val="BodyText"/>
        <w:rPr>
          <w:i/>
          <w:i/>
          <w:iCs/>
        </w:rPr>
      </w:pPr>
      <w:r>
        <w:rPr>
          <w:i/>
          <w:iCs/>
        </w:rPr>
      </w:r>
    </w:p>
    <w:p>
      <w:pPr>
        <w:pStyle w:val="BodyText"/>
        <w:numPr>
          <w:ilvl w:val="0"/>
          <w:numId w:val="12"/>
        </w:numPr>
        <w:rPr>
          <w:i/>
          <w:i/>
          <w:iCs/>
        </w:rPr>
      </w:pPr>
      <w:r>
        <w:rPr>
          <w:i/>
          <w:iCs/>
        </w:rPr>
        <w:t xml:space="preserve">FreeMarkets.com: </w:t>
      </w:r>
      <w:r>
        <w:rPr/>
        <w:t>The site provides online bidding events (reverse auctions) to help industrial buyers achieve more streamlines and lower-cost purchases from pre-qualified buyers.  By providing a centralized electronic reverse auction facility, more suppliers can bid fro these large multi-million industrial purchases.  It also provides value-added services to facilitate the decision-making and auction preparation process.</w:t>
      </w:r>
    </w:p>
    <w:p>
      <w:pPr>
        <w:pStyle w:val="BodyText"/>
        <w:rPr>
          <w:i/>
          <w:i/>
          <w:iCs/>
        </w:rPr>
      </w:pPr>
      <w:r>
        <w:rPr>
          <w:i/>
          <w:iCs/>
        </w:rPr>
      </w:r>
    </w:p>
    <w:p>
      <w:pPr>
        <w:pStyle w:val="BodyText"/>
        <w:numPr>
          <w:ilvl w:val="0"/>
          <w:numId w:val="12"/>
        </w:numPr>
        <w:rPr>
          <w:i/>
          <w:i/>
          <w:iCs/>
        </w:rPr>
      </w:pPr>
      <w:r>
        <w:rPr>
          <w:i/>
          <w:iCs/>
        </w:rPr>
        <w:t xml:space="preserve">BuyingDecisions.com: </w:t>
      </w:r>
      <w:r>
        <w:rPr/>
        <w:t>Their Internet-based procurement platform streamlines and facilitates the entire buying process for complex products and services.  Their RFP Solution Acquisition module provides quantifiable information and compares vendors on how well they met the buyer’s requirements.  Their clientele is solely in the education field but their target market may very well be broader.</w:t>
      </w:r>
    </w:p>
    <w:p>
      <w:pPr>
        <w:pStyle w:val="BodyText"/>
        <w:rPr>
          <w:i/>
          <w:i/>
          <w:iCs/>
        </w:rPr>
      </w:pPr>
      <w:r>
        <w:rPr>
          <w:i/>
          <w:iCs/>
        </w:rPr>
      </w:r>
    </w:p>
    <w:p>
      <w:pPr>
        <w:pStyle w:val="BodyText"/>
        <w:numPr>
          <w:ilvl w:val="0"/>
          <w:numId w:val="12"/>
        </w:numPr>
        <w:rPr>
          <w:i/>
          <w:i/>
          <w:iCs/>
        </w:rPr>
      </w:pPr>
      <w:r>
        <w:rPr>
          <w:i/>
          <w:iCs/>
        </w:rPr>
        <w:t xml:space="preserve">On My Mind, Inc.: </w:t>
      </w:r>
      <w:r>
        <w:rPr/>
        <w:t>Internet start-up in stealth mode rumored to be in the RFQ automation business.</w:t>
      </w:r>
    </w:p>
    <w:p>
      <w:pPr>
        <w:pStyle w:val="BodyText"/>
        <w:rPr>
          <w:i/>
          <w:i/>
          <w:iCs/>
        </w:rPr>
      </w:pPr>
      <w:r>
        <w:rPr>
          <w:i/>
          <w:iCs/>
        </w:rPr>
      </w:r>
    </w:p>
    <w:p>
      <w:pPr>
        <w:pStyle w:val="BodyText"/>
        <w:rPr>
          <w:i/>
          <w:i/>
          <w:iCs/>
        </w:rPr>
      </w:pPr>
      <w:r>
        <w:rPr>
          <w:i/>
          <w:iCs/>
        </w:rPr>
      </w:r>
    </w:p>
    <w:p>
      <w:pPr>
        <w:pStyle w:val="BodyText"/>
        <w:rPr>
          <w:b/>
          <w:bCs/>
          <w:sz w:val="28"/>
        </w:rPr>
      </w:pPr>
      <w:r>
        <w:rPr>
          <w:b/>
          <w:bCs/>
          <w:sz w:val="28"/>
        </w:rPr>
        <w:t>The Customer</w:t>
      </w:r>
    </w:p>
    <w:p>
      <w:pPr>
        <w:pStyle w:val="BodyText"/>
        <w:rPr/>
      </w:pPr>
      <w:r>
        <w:rPr/>
        <w:t>It can be argued that the metamediary has, in essence, two customers -- the buyer and the seller – since it positions itself at the crossroads between the two and generates revenue from both parties.  However, because the tendency is to lean towards being a buyer-centric organization and it has been proven that the successful approach is to get the customers first and then the suppliers will come (versus the opposite), the buyer deserves most of the attention from Marketing and Product Management.</w:t>
      </w:r>
    </w:p>
    <w:p>
      <w:pPr>
        <w:pStyle w:val="BodyText"/>
        <w:rPr/>
      </w:pPr>
      <w:r>
        <w:rPr/>
      </w:r>
    </w:p>
    <w:p>
      <w:pPr>
        <w:pStyle w:val="BodyText"/>
        <w:rPr/>
      </w:pPr>
      <w:r>
        <w:rPr/>
        <w:t>The beauty of the B2BeC market is that there is really only one principal customer – the Business Buyer.  Although requisitions for purchases emanate from all corners of a business, the majority is generally funneled through the Purchasing/Procurement Department.  There are two types of Business Buyer: the Professional Buyer and the Small Business Owner.  The Professional Buyer such as a Purchasing Manager holds dear to a job description that comprises of procuring on a full-time basis the products and services a business needs to generate revenue.  The Small Business Owner such as a dentist wears many hats and also handles procurement on a part-time basis.  Both types of Business Buyers have different requirements from a procurement system.</w:t>
      </w:r>
    </w:p>
    <w:p>
      <w:pPr>
        <w:pStyle w:val="BodyText"/>
        <w:rPr/>
      </w:pPr>
      <w:r>
        <w:rPr/>
      </w:r>
    </w:p>
    <w:p>
      <w:pPr>
        <w:pStyle w:val="BodyText"/>
        <w:rPr/>
      </w:pPr>
      <w:r>
        <w:rPr/>
        <w:t>According to the National Association of Purchasing Management (NAPM), the largest non-profit organization catering to the purchasing community, there exist approximately 800,000 Professional Buyers in the U.S. – 300K work in the public sector, 250K in the private sector, and 250K in the services sector.  According to the annual survey within their 44,000 membership base, there are five catalysts stimulating the adoption of B2B solutions:</w:t>
      </w:r>
    </w:p>
    <w:p>
      <w:pPr>
        <w:pStyle w:val="BodyText"/>
        <w:rPr/>
      </w:pPr>
      <w:r>
        <w:rPr/>
      </w:r>
    </w:p>
    <w:p>
      <w:pPr>
        <w:pStyle w:val="BodyText"/>
        <w:numPr>
          <w:ilvl w:val="0"/>
          <w:numId w:val="15"/>
        </w:numPr>
        <w:rPr/>
      </w:pPr>
      <w:r>
        <w:rPr/>
        <w:t>Increasing experience with Web technologies</w:t>
      </w:r>
    </w:p>
    <w:p>
      <w:pPr>
        <w:pStyle w:val="BodyText"/>
        <w:numPr>
          <w:ilvl w:val="0"/>
          <w:numId w:val="15"/>
        </w:numPr>
        <w:rPr/>
      </w:pPr>
      <w:r>
        <w:rPr/>
        <w:t>Consolidation of industry standards (i.e. XML)</w:t>
      </w:r>
    </w:p>
    <w:p>
      <w:pPr>
        <w:pStyle w:val="BodyText"/>
        <w:numPr>
          <w:ilvl w:val="0"/>
          <w:numId w:val="15"/>
        </w:numPr>
        <w:rPr/>
      </w:pPr>
      <w:r>
        <w:rPr/>
        <w:t>Simplification and maturation of application technologies</w:t>
      </w:r>
    </w:p>
    <w:p>
      <w:pPr>
        <w:pStyle w:val="BodyText"/>
        <w:numPr>
          <w:ilvl w:val="0"/>
          <w:numId w:val="15"/>
        </w:numPr>
        <w:rPr/>
      </w:pPr>
      <w:r>
        <w:rPr/>
        <w:t>Increasing stickiness in B2B solutions</w:t>
      </w:r>
    </w:p>
    <w:p>
      <w:pPr>
        <w:pStyle w:val="BodyText"/>
        <w:numPr>
          <w:ilvl w:val="0"/>
          <w:numId w:val="15"/>
        </w:numPr>
        <w:rPr/>
      </w:pPr>
      <w:r>
        <w:rPr/>
        <w:t>Cost savings and new revenue opportunities</w:t>
      </w:r>
    </w:p>
    <w:p>
      <w:pPr>
        <w:pStyle w:val="BodyText"/>
        <w:rPr/>
      </w:pPr>
      <w:r>
        <w:rPr/>
      </w:r>
    </w:p>
    <w:p>
      <w:pPr>
        <w:pStyle w:val="BodyText"/>
        <w:rPr/>
      </w:pPr>
      <w:r>
        <w:rPr/>
        <w:t>The NAPM estimates that purchasing staff spends 74% of their time on administering transactions and only 7% of their time developing strategic outsource partners.  Thus, only 35% of contracts are centrally negotiated, with a high percentage of purchases sourced from authorized suppliers.  The typical purchasing manager is not an effective researcher.  Due to poor research, an estimated 20% of suppliers are awarded 90% of purchases.  One of the key weaknesses of procurement is poor information flow.  B2B solutions automate the information process, maximizing the cost efficiencies.  It also believes that e-procurement solutions represent incremental revenue opportunities.</w:t>
      </w:r>
    </w:p>
    <w:p>
      <w:pPr>
        <w:pStyle w:val="BodyText"/>
        <w:rPr/>
      </w:pPr>
      <w:r>
        <w:rPr/>
      </w:r>
    </w:p>
    <w:p>
      <w:pPr>
        <w:pStyle w:val="BodyText"/>
        <w:rPr/>
      </w:pPr>
      <w:r>
        <w:rPr/>
        <w:t>The following criteria for bid versus negotiate in a decision making process have been defined by the Center for Advanced Purchasing Studies (CAPS):</w:t>
      </w:r>
    </w:p>
    <w:p>
      <w:pPr>
        <w:pStyle w:val="BodyText"/>
        <w:rPr/>
      </w:pPr>
      <w:r>
        <w:rPr/>
      </w:r>
    </w:p>
    <w:p>
      <w:pPr>
        <w:pStyle w:val="BodyText"/>
        <w:numPr>
          <w:ilvl w:val="0"/>
          <w:numId w:val="22"/>
        </w:numPr>
        <w:rPr>
          <w:i/>
          <w:i/>
          <w:iCs/>
        </w:rPr>
      </w:pPr>
      <w:r>
        <w:rPr>
          <w:i/>
          <w:iCs/>
        </w:rPr>
        <w:t>When to bid/quote:</w:t>
      </w:r>
    </w:p>
    <w:p>
      <w:pPr>
        <w:pStyle w:val="BodyText"/>
        <w:numPr>
          <w:ilvl w:val="0"/>
          <w:numId w:val="14"/>
        </w:numPr>
        <w:rPr/>
      </w:pPr>
      <w:r>
        <w:rPr/>
        <w:t>Specifications must be explicitly clear</w:t>
      </w:r>
    </w:p>
    <w:p>
      <w:pPr>
        <w:pStyle w:val="BodyText"/>
        <w:numPr>
          <w:ilvl w:val="0"/>
          <w:numId w:val="14"/>
        </w:numPr>
        <w:rPr/>
      </w:pPr>
      <w:r>
        <w:rPr/>
        <w:t>Market must have adequate number of suppliers</w:t>
      </w:r>
    </w:p>
    <w:p>
      <w:pPr>
        <w:pStyle w:val="BodyText"/>
        <w:numPr>
          <w:ilvl w:val="0"/>
          <w:numId w:val="14"/>
        </w:numPr>
        <w:rPr/>
      </w:pPr>
      <w:r>
        <w:rPr/>
        <w:t>Sellers must be certifiable – able to produce product at quality needed</w:t>
      </w:r>
    </w:p>
    <w:p>
      <w:pPr>
        <w:pStyle w:val="BodyText"/>
        <w:numPr>
          <w:ilvl w:val="0"/>
          <w:numId w:val="14"/>
        </w:numPr>
        <w:rPr/>
      </w:pPr>
      <w:r>
        <w:rPr/>
        <w:t>Time can be a factor when the lead-time and product is complex</w:t>
      </w:r>
    </w:p>
    <w:p>
      <w:pPr>
        <w:pStyle w:val="BodyText"/>
        <w:numPr>
          <w:ilvl w:val="0"/>
          <w:numId w:val="14"/>
        </w:numPr>
        <w:rPr/>
      </w:pPr>
      <w:r>
        <w:rPr/>
        <w:t>Price is principle focus (although not the only currency)</w:t>
      </w:r>
    </w:p>
    <w:p>
      <w:pPr>
        <w:pStyle w:val="BodyText"/>
        <w:ind w:start="1440" w:end="0"/>
        <w:rPr/>
      </w:pPr>
      <w:r>
        <w:rPr/>
      </w:r>
    </w:p>
    <w:p>
      <w:pPr>
        <w:pStyle w:val="BodyText"/>
        <w:numPr>
          <w:ilvl w:val="0"/>
          <w:numId w:val="22"/>
        </w:numPr>
        <w:rPr>
          <w:i/>
          <w:i/>
          <w:iCs/>
        </w:rPr>
      </w:pPr>
      <w:r>
        <w:rPr>
          <w:i/>
          <w:iCs/>
        </w:rPr>
        <w:t>When to negotiate:</w:t>
      </w:r>
    </w:p>
    <w:p>
      <w:pPr>
        <w:pStyle w:val="BodyText"/>
        <w:numPr>
          <w:ilvl w:val="0"/>
          <w:numId w:val="6"/>
        </w:numPr>
        <w:rPr/>
      </w:pPr>
      <w:r>
        <w:rPr/>
        <w:t>The specifications are unclear or vague</w:t>
      </w:r>
    </w:p>
    <w:p>
      <w:pPr>
        <w:pStyle w:val="BodyText"/>
        <w:numPr>
          <w:ilvl w:val="0"/>
          <w:numId w:val="6"/>
        </w:numPr>
        <w:rPr/>
      </w:pPr>
      <w:r>
        <w:rPr/>
        <w:t>Time is of the essence</w:t>
      </w:r>
    </w:p>
    <w:p>
      <w:pPr>
        <w:pStyle w:val="BodyText"/>
        <w:numPr>
          <w:ilvl w:val="0"/>
          <w:numId w:val="6"/>
        </w:numPr>
        <w:rPr/>
      </w:pPr>
      <w:r>
        <w:rPr/>
        <w:t>Changes are expected</w:t>
      </w:r>
    </w:p>
    <w:p>
      <w:pPr>
        <w:pStyle w:val="BodyText"/>
        <w:numPr>
          <w:ilvl w:val="0"/>
          <w:numId w:val="6"/>
        </w:numPr>
        <w:rPr/>
      </w:pPr>
      <w:r>
        <w:rPr/>
        <w:t>Special tools or features are required</w:t>
      </w:r>
    </w:p>
    <w:p>
      <w:pPr>
        <w:pStyle w:val="BodyText"/>
        <w:rPr/>
      </w:pPr>
      <w:r>
        <w:rPr/>
      </w:r>
    </w:p>
    <w:p>
      <w:pPr>
        <w:pStyle w:val="BodyText"/>
        <w:rPr>
          <w:b/>
          <w:bCs/>
          <w:sz w:val="28"/>
        </w:rPr>
      </w:pPr>
      <w:r>
        <w:rPr>
          <w:b/>
          <w:bCs/>
          <w:sz w:val="28"/>
        </w:rPr>
        <w:t>e-Procurement Solutions</w:t>
      </w:r>
    </w:p>
    <w:p>
      <w:pPr>
        <w:pStyle w:val="BodyText"/>
        <w:rPr/>
      </w:pPr>
      <w:r>
        <w:rPr/>
        <w:t>According to CommerceOne, larger companies can automate the direct goods process since it requires networking to a few strategic suppliers, for whom the high cost and point-to-point integrations are justified due to high volume and transactions value.  Automating the indirect supply chain often requires automating transactions with a large number of suppliers who provide the wide array of indirect goods and services purchased by a typical organization.  Failing to do so means many items will be purchased outside the e-procurement system, limiting the effectiveness of the system and its cost reduction potential.  Three primary challenges have limited the industry’s ability to automate transactions with suppliers comprising the indirect goods and services supply chain:</w:t>
      </w:r>
    </w:p>
    <w:p>
      <w:pPr>
        <w:pStyle w:val="BodyText"/>
        <w:rPr/>
      </w:pPr>
      <w:r>
        <w:rPr/>
      </w:r>
    </w:p>
    <w:p>
      <w:pPr>
        <w:pStyle w:val="BodyText"/>
        <w:numPr>
          <w:ilvl w:val="0"/>
          <w:numId w:val="9"/>
        </w:numPr>
        <w:rPr>
          <w:i/>
          <w:i/>
          <w:iCs/>
        </w:rPr>
      </w:pPr>
      <w:r>
        <w:rPr>
          <w:i/>
          <w:iCs/>
        </w:rPr>
        <w:t xml:space="preserve">Consistent presentation and storage of catalog content across multiple trading partners: </w:t>
      </w:r>
    </w:p>
    <w:p>
      <w:pPr>
        <w:pStyle w:val="BodyText"/>
        <w:numPr>
          <w:ilvl w:val="0"/>
          <w:numId w:val="21"/>
        </w:numPr>
        <w:rPr/>
      </w:pPr>
      <w:r>
        <w:rPr/>
        <w:t>Different formats and taxonomies</w:t>
      </w:r>
    </w:p>
    <w:p>
      <w:pPr>
        <w:pStyle w:val="BodyText"/>
        <w:numPr>
          <w:ilvl w:val="0"/>
          <w:numId w:val="21"/>
        </w:numPr>
        <w:rPr/>
      </w:pPr>
      <w:r>
        <w:rPr/>
        <w:t>Varying access methods</w:t>
      </w:r>
    </w:p>
    <w:p>
      <w:pPr>
        <w:pStyle w:val="BodyText"/>
        <w:numPr>
          <w:ilvl w:val="0"/>
          <w:numId w:val="21"/>
        </w:numPr>
        <w:rPr>
          <w:i/>
          <w:i/>
          <w:iCs/>
        </w:rPr>
      </w:pPr>
      <w:r>
        <w:rPr/>
        <w:t>Requires domain expertise</w:t>
      </w:r>
    </w:p>
    <w:p>
      <w:pPr>
        <w:pStyle w:val="BodyText"/>
        <w:ind w:start="1080" w:end="0"/>
        <w:rPr>
          <w:i/>
          <w:i/>
          <w:iCs/>
        </w:rPr>
      </w:pPr>
      <w:r>
        <w:rPr>
          <w:i/>
          <w:iCs/>
        </w:rPr>
      </w:r>
    </w:p>
    <w:p>
      <w:pPr>
        <w:pStyle w:val="BodyText"/>
        <w:numPr>
          <w:ilvl w:val="0"/>
          <w:numId w:val="9"/>
        </w:numPr>
        <w:rPr>
          <w:i/>
          <w:i/>
          <w:iCs/>
        </w:rPr>
      </w:pPr>
      <w:r>
        <w:rPr>
          <w:i/>
          <w:iCs/>
        </w:rPr>
        <w:t>Automated buying and selling between trading partners:</w:t>
      </w:r>
    </w:p>
    <w:p>
      <w:pPr>
        <w:pStyle w:val="BodyText"/>
        <w:numPr>
          <w:ilvl w:val="1"/>
          <w:numId w:val="9"/>
        </w:numPr>
        <w:rPr>
          <w:i/>
          <w:i/>
          <w:iCs/>
        </w:rPr>
      </w:pPr>
      <w:r>
        <w:rPr/>
        <w:t>Software often required on both ends of the supply chain</w:t>
      </w:r>
    </w:p>
    <w:p>
      <w:pPr>
        <w:pStyle w:val="BodyText"/>
        <w:numPr>
          <w:ilvl w:val="1"/>
          <w:numId w:val="9"/>
        </w:numPr>
        <w:rPr>
          <w:i/>
          <w:i/>
          <w:iCs/>
        </w:rPr>
      </w:pPr>
      <w:r>
        <w:rPr/>
        <w:t>Point-to-point integration which does not scale to a wide number of trading partners</w:t>
      </w:r>
    </w:p>
    <w:p>
      <w:pPr>
        <w:pStyle w:val="BodyText"/>
        <w:numPr>
          <w:ilvl w:val="1"/>
          <w:numId w:val="9"/>
        </w:numPr>
        <w:rPr>
          <w:i/>
          <w:i/>
          <w:iCs/>
        </w:rPr>
      </w:pPr>
      <w:r>
        <w:rPr/>
        <w:t>Limited functionality of store and forward technology</w:t>
      </w:r>
    </w:p>
    <w:p>
      <w:pPr>
        <w:pStyle w:val="BodyText"/>
        <w:ind w:start="1440" w:end="0"/>
        <w:rPr>
          <w:i/>
          <w:i/>
          <w:iCs/>
        </w:rPr>
      </w:pPr>
      <w:r>
        <w:rPr>
          <w:i/>
          <w:iCs/>
        </w:rPr>
      </w:r>
    </w:p>
    <w:p>
      <w:pPr>
        <w:pStyle w:val="BodyText"/>
        <w:numPr>
          <w:ilvl w:val="0"/>
          <w:numId w:val="9"/>
        </w:numPr>
        <w:rPr>
          <w:i/>
          <w:i/>
          <w:iCs/>
        </w:rPr>
      </w:pPr>
      <w:r>
        <w:rPr>
          <w:i/>
          <w:iCs/>
        </w:rPr>
        <w:t>Trading Partner system not e-commerce enabled:</w:t>
      </w:r>
    </w:p>
    <w:p>
      <w:pPr>
        <w:pStyle w:val="BodyText"/>
        <w:numPr>
          <w:ilvl w:val="0"/>
          <w:numId w:val="13"/>
        </w:numPr>
        <w:rPr/>
      </w:pPr>
      <w:r>
        <w:rPr/>
        <w:t>Proprietary, closed interfaces</w:t>
      </w:r>
    </w:p>
    <w:p>
      <w:pPr>
        <w:pStyle w:val="BodyText"/>
        <w:numPr>
          <w:ilvl w:val="0"/>
          <w:numId w:val="13"/>
        </w:numPr>
        <w:rPr/>
      </w:pPr>
      <w:r>
        <w:rPr/>
        <w:t>No content management, publishing expertise</w:t>
      </w:r>
    </w:p>
    <w:p>
      <w:pPr>
        <w:pStyle w:val="BodyText"/>
        <w:rPr/>
      </w:pPr>
      <w:r>
        <w:rPr/>
      </w:r>
    </w:p>
    <w:p>
      <w:pPr>
        <w:pStyle w:val="BodyText"/>
        <w:rPr/>
      </w:pPr>
      <w:r>
        <w:rPr/>
        <w:t>Businesses are now looking outside the enterprise to reduce costs, improve cycle times, and increase revenue.  An emerging area of focus is the indirect procurement, which is the spending associated with acquiring the goods and services required to run the enterprise.  According to the Center for Advanced Purchasing Studies (CAPS), indirect procurement comprises a significant portion of corporate spending as indicated in the chart below:</w:t>
      </w:r>
    </w:p>
    <w:p>
      <w:pPr>
        <w:pStyle w:val="BodyText"/>
        <w:rPr/>
      </w:pPr>
      <w:r>
        <w:rPr/>
        <w:object w:dxaOrig="7968" w:dyaOrig="558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98.2pt;height:279pt" filled="f" o:ole="">
            <v:imagedata r:id="rId4" o:title=""/>
          </v:shape>
          <o:OLEObject Type="Embed" ProgID="" ShapeID="ole_rId3" DrawAspect="Content" ObjectID="_603859022" r:id="rId3"/>
        </w:object>
      </w:r>
    </w:p>
    <w:p>
      <w:pPr>
        <w:pStyle w:val="BodyText"/>
        <w:rPr>
          <w:i/>
          <w:i/>
          <w:iCs/>
          <w:sz w:val="20"/>
        </w:rPr>
      </w:pPr>
      <w:r>
        <w:rPr>
          <w:i/>
          <w:iCs/>
          <w:sz w:val="20"/>
        </w:rPr>
        <w:t>Source: AMR Research and CAPS</w:t>
      </w:r>
    </w:p>
    <w:p>
      <w:pPr>
        <w:pStyle w:val="BodyText"/>
        <w:rPr>
          <w:i/>
          <w:i/>
          <w:iCs/>
          <w:sz w:val="20"/>
        </w:rPr>
      </w:pPr>
      <w:r>
        <w:rPr>
          <w:i/>
          <w:iCs/>
          <w:sz w:val="20"/>
        </w:rPr>
      </w:r>
    </w:p>
    <w:p>
      <w:pPr>
        <w:pStyle w:val="BodyText"/>
        <w:rPr/>
      </w:pPr>
      <w:r>
        <w:rPr/>
        <w:t>According to recent research by the Aberdeen Group, implementing indirect automated procurement solutions leads to the following economic benefits:</w:t>
      </w:r>
    </w:p>
    <w:p>
      <w:pPr>
        <w:pStyle w:val="BodyText"/>
        <w:rPr/>
      </w:pPr>
      <w:r>
        <w:rPr/>
      </w:r>
    </w:p>
    <w:p>
      <w:pPr>
        <w:pStyle w:val="BodyText"/>
        <w:numPr>
          <w:ilvl w:val="0"/>
          <w:numId w:val="8"/>
        </w:numPr>
        <w:rPr/>
      </w:pPr>
      <w:r>
        <w:rPr/>
        <w:t>5% to 15% reduction in product costs</w:t>
      </w:r>
    </w:p>
    <w:p>
      <w:pPr>
        <w:pStyle w:val="BodyText"/>
        <w:numPr>
          <w:ilvl w:val="0"/>
          <w:numId w:val="8"/>
        </w:numPr>
        <w:rPr/>
      </w:pPr>
      <w:r>
        <w:rPr/>
        <w:t>70% decrease in process costs</w:t>
      </w:r>
    </w:p>
    <w:p>
      <w:pPr>
        <w:pStyle w:val="BodyText"/>
        <w:numPr>
          <w:ilvl w:val="0"/>
          <w:numId w:val="8"/>
        </w:numPr>
        <w:rPr/>
      </w:pPr>
      <w:r>
        <w:rPr/>
        <w:t>An average cost of $30 per requisition compared to $107-per-requisition for orders processed manually (often exceeds the price of the items being purchased)</w:t>
      </w:r>
    </w:p>
    <w:p>
      <w:pPr>
        <w:pStyle w:val="BodyText"/>
        <w:numPr>
          <w:ilvl w:val="0"/>
          <w:numId w:val="8"/>
        </w:numPr>
        <w:rPr/>
      </w:pPr>
      <w:r>
        <w:rPr/>
        <w:t>The time to complete the purchase requisition cycle – from order initialization through fulfillment – is reduced by between 50% and 70% when orders are processed using an e-procurement solution.</w:t>
      </w:r>
    </w:p>
    <w:p>
      <w:pPr>
        <w:pStyle w:val="BodyText"/>
        <w:numPr>
          <w:ilvl w:val="0"/>
          <w:numId w:val="8"/>
        </w:numPr>
        <w:rPr/>
      </w:pPr>
      <w:r>
        <w:rPr/>
        <w:t>Improved inventory practices by reducing fulfillment cycles and improved purchase control can lead to adopt just-in-time (JIT) MRO.</w:t>
      </w:r>
    </w:p>
    <w:p>
      <w:pPr>
        <w:pStyle w:val="BodyText"/>
        <w:ind w:start="360" w:end="0"/>
        <w:rPr/>
      </w:pPr>
      <w:r>
        <w:rPr/>
      </w:r>
    </w:p>
    <w:p>
      <w:pPr>
        <w:pStyle w:val="BodyText"/>
        <w:rPr/>
      </w:pPr>
      <w:r>
        <w:rPr/>
      </w:r>
    </w:p>
    <w:p>
      <w:pPr>
        <w:pStyle w:val="BodyText"/>
        <w:rPr>
          <w:b/>
          <w:bCs/>
          <w:sz w:val="28"/>
        </w:rPr>
      </w:pPr>
      <w:r>
        <w:rPr>
          <w:b/>
          <w:bCs/>
          <w:sz w:val="28"/>
        </w:rPr>
        <w:t>e-Procurement Process</w:t>
      </w:r>
    </w:p>
    <w:p>
      <w:pPr>
        <w:pStyle w:val="BodyText"/>
        <w:rPr/>
      </w:pPr>
      <w:r>
        <w:rPr/>
        <w:t xml:space="preserve">A Purchasing Manager working for a company that do not utilize an e-procurement system would typically start the order process by asking several vendors for bids, reviewed sales catalogs, written a requisition or purchase order, routed the requisition through a manual approval process that can take several days, and waited several weeks for delivery.  If he/she ordered from a catalog, he/she might have found that the price was outdated or that the product was out of stock.  Even with considerable paperwork, the order would have been difficult to track until it arrived in the Purchasing Department. </w:t>
      </w:r>
    </w:p>
    <w:p>
      <w:pPr>
        <w:pStyle w:val="BodyText"/>
        <w:rPr/>
      </w:pPr>
      <w:r>
        <w:rPr/>
      </w:r>
    </w:p>
    <w:p>
      <w:pPr>
        <w:pStyle w:val="BodyText"/>
        <w:rPr/>
      </w:pPr>
      <w:r>
        <w:rPr/>
        <w:t xml:space="preserve">According to AMR Research, organizations suffer even greater costs when they cannot fully leverage procurement economies of scale, beyond the time and expense associated with manual processing costs.  Most organizations lack the systems that enable them to monitor purchases and compile data necessary to negotiate better volume discounts with preferred suppliers.  Most organizations suffer from “maverick buying”, which occurs when personnel do not follow internal guidelines as to which suppliers to use for operating resource purchases.  When employees do not buy from preferred suppliers, organizations pay a premium.  AMR estimates that maverick buying accounts for one-third of operating resource expenditures, costing organizations a 15% to 27% premium on those purchases.  In addition, low visibility into internal buying behavior trends and supplier performance patterns (business intelligence) further limit the benefits of volume procurement contracts.  </w:t>
      </w:r>
    </w:p>
    <w:p>
      <w:pPr>
        <w:pStyle w:val="BodyText"/>
        <w:rPr/>
      </w:pPr>
      <w:r>
        <w:rPr/>
      </w:r>
    </w:p>
    <w:p>
      <w:pPr>
        <w:pStyle w:val="BodyText"/>
        <w:rPr/>
      </w:pPr>
      <w:r>
        <w:rPr/>
        <w:t>Aside from missed revenue opportunities, suppliers/sellers also suffer from inefficient, error prone and labor- intensive order fulfillment processes.  Furthermore, coupled to the significant dedicated human resources, suppliers spend significant resources on customer acquisition and sales costs, including the production and distribution of paper catalogs.  Without e-procurement systems, both buyer and seller incur substantial extraneous costs in conducting business.</w:t>
      </w:r>
    </w:p>
    <w:p>
      <w:pPr>
        <w:pStyle w:val="BodyText"/>
        <w:rPr/>
      </w:pPr>
      <w:r>
        <w:rPr/>
      </w:r>
    </w:p>
    <w:p>
      <w:pPr>
        <w:pStyle w:val="BodyText"/>
        <w:ind w:firstLine="720" w:start="2160" w:end="0"/>
        <w:rPr>
          <w:b/>
          <w:bCs/>
        </w:rPr>
      </w:pPr>
      <w:r>
        <w:rPr>
          <w:b/>
          <w:bCs/>
        </w:rPr>
        <w:t>Transactions %</w:t>
        <w:tab/>
        <w:tab/>
        <w:t xml:space="preserve">    Dollar Amount %</w:t>
      </w:r>
    </w:p>
    <w:p>
      <w:pPr>
        <w:pStyle w:val="BodyText"/>
        <w:rPr/>
      </w:pPr>
      <w:r>
        <w:rPr>
          <w:b/>
          <w:bCs/>
        </w:rPr>
        <w:t>1) Low Risk/Low value</w:t>
      </w:r>
      <w:r>
        <w:rPr/>
        <w:t xml:space="preserve">            </w:t>
        <w:tab/>
        <w:t>45%                                     5%</w:t>
      </w:r>
    </w:p>
    <w:p>
      <w:pPr>
        <w:pStyle w:val="BodyText"/>
        <w:numPr>
          <w:ilvl w:val="0"/>
          <w:numId w:val="23"/>
        </w:numPr>
        <w:rPr/>
      </w:pPr>
      <w:r>
        <w:rPr/>
        <w:t>Office supplies</w:t>
      </w:r>
    </w:p>
    <w:p>
      <w:pPr>
        <w:pStyle w:val="BodyText"/>
        <w:numPr>
          <w:ilvl w:val="0"/>
          <w:numId w:val="23"/>
        </w:numPr>
        <w:rPr/>
      </w:pPr>
      <w:r>
        <w:rPr/>
        <w:t>Hardware</w:t>
      </w:r>
    </w:p>
    <w:p>
      <w:pPr>
        <w:pStyle w:val="BodyText"/>
        <w:numPr>
          <w:ilvl w:val="0"/>
          <w:numId w:val="23"/>
        </w:numPr>
        <w:rPr/>
      </w:pPr>
      <w:r>
        <w:rPr/>
        <w:t>Engineering support</w:t>
      </w:r>
    </w:p>
    <w:p>
      <w:pPr>
        <w:pStyle w:val="BodyText"/>
        <w:rPr/>
      </w:pPr>
      <w:r>
        <w:rPr>
          <w:b/>
          <w:bCs/>
        </w:rPr>
        <w:t>2) High risk/ Low value</w:t>
      </w:r>
      <w:r>
        <w:rPr/>
        <w:t xml:space="preserve">          </w:t>
        <w:tab/>
        <w:t>15%                                     20%</w:t>
      </w:r>
    </w:p>
    <w:p>
      <w:pPr>
        <w:pStyle w:val="BodyText"/>
        <w:numPr>
          <w:ilvl w:val="0"/>
          <w:numId w:val="11"/>
        </w:numPr>
        <w:rPr/>
      </w:pPr>
      <w:r>
        <w:rPr/>
        <w:t>Tooling</w:t>
      </w:r>
    </w:p>
    <w:p>
      <w:pPr>
        <w:pStyle w:val="BodyText"/>
        <w:numPr>
          <w:ilvl w:val="0"/>
          <w:numId w:val="11"/>
        </w:numPr>
        <w:rPr/>
      </w:pPr>
      <w:r>
        <w:rPr/>
        <w:t>Factory support</w:t>
      </w:r>
    </w:p>
    <w:p>
      <w:pPr>
        <w:pStyle w:val="BodyText"/>
        <w:numPr>
          <w:ilvl w:val="0"/>
          <w:numId w:val="11"/>
        </w:numPr>
        <w:rPr/>
      </w:pPr>
      <w:r>
        <w:rPr/>
        <w:t>Operating Software</w:t>
      </w:r>
    </w:p>
    <w:p>
      <w:pPr>
        <w:pStyle w:val="BodyText"/>
        <w:rPr/>
      </w:pPr>
      <w:r>
        <w:rPr>
          <w:b/>
          <w:bCs/>
        </w:rPr>
        <w:t>3) High risk and high value</w:t>
      </w:r>
      <w:r>
        <w:rPr/>
        <w:t xml:space="preserve">           5%                                      45%</w:t>
      </w:r>
    </w:p>
    <w:p>
      <w:pPr>
        <w:pStyle w:val="BodyText"/>
        <w:numPr>
          <w:ilvl w:val="0"/>
          <w:numId w:val="3"/>
        </w:numPr>
        <w:rPr/>
      </w:pPr>
      <w:r>
        <w:rPr/>
        <w:t>Capital equipment</w:t>
      </w:r>
    </w:p>
    <w:p>
      <w:pPr>
        <w:pStyle w:val="BodyText"/>
        <w:numPr>
          <w:ilvl w:val="0"/>
          <w:numId w:val="3"/>
        </w:numPr>
        <w:rPr/>
      </w:pPr>
      <w:r>
        <w:rPr/>
        <w:t>Direct Materials</w:t>
      </w:r>
    </w:p>
    <w:p>
      <w:pPr>
        <w:pStyle w:val="BodyText"/>
        <w:numPr>
          <w:ilvl w:val="0"/>
          <w:numId w:val="3"/>
        </w:numPr>
        <w:rPr/>
      </w:pPr>
      <w:r>
        <w:rPr/>
        <w:t>Strategic Services</w:t>
      </w:r>
    </w:p>
    <w:p>
      <w:pPr>
        <w:pStyle w:val="BodyText"/>
        <w:rPr/>
      </w:pPr>
      <w:r>
        <w:rPr>
          <w:b/>
          <w:bCs/>
        </w:rPr>
        <w:t>4) Low risk and high value</w:t>
      </w:r>
      <w:r>
        <w:rPr/>
        <w:t xml:space="preserve">         35%                                     30%</w:t>
      </w:r>
    </w:p>
    <w:p>
      <w:pPr>
        <w:pStyle w:val="BodyText"/>
        <w:numPr>
          <w:ilvl w:val="0"/>
          <w:numId w:val="3"/>
        </w:numPr>
        <w:rPr/>
      </w:pPr>
      <w:r>
        <w:rPr/>
        <w:t>Furniture</w:t>
      </w:r>
    </w:p>
    <w:p>
      <w:pPr>
        <w:pStyle w:val="BodyText"/>
        <w:numPr>
          <w:ilvl w:val="0"/>
          <w:numId w:val="3"/>
        </w:numPr>
        <w:rPr/>
      </w:pPr>
      <w:r>
        <w:rPr/>
        <w:t>Transportation</w:t>
      </w:r>
    </w:p>
    <w:p>
      <w:pPr>
        <w:pStyle w:val="BodyText"/>
        <w:numPr>
          <w:ilvl w:val="0"/>
          <w:numId w:val="3"/>
        </w:numPr>
        <w:rPr/>
      </w:pPr>
      <w:r>
        <w:rPr/>
        <w:t>Janitorial supplies</w:t>
      </w:r>
    </w:p>
    <w:p>
      <w:pPr>
        <w:pStyle w:val="BodyText"/>
        <w:numPr>
          <w:ilvl w:val="0"/>
          <w:numId w:val="3"/>
        </w:numPr>
        <w:rPr/>
      </w:pPr>
      <w:r>
        <w:rPr/>
        <w:t>Utilities</w:t>
      </w:r>
    </w:p>
    <w:p>
      <w:pPr>
        <w:pStyle w:val="BodyText"/>
        <w:ind w:start="360" w:end="0"/>
        <w:rPr/>
      </w:pPr>
      <w:r>
        <w:rPr/>
      </w:r>
    </w:p>
    <w:p>
      <w:pPr>
        <w:pStyle w:val="BodyText"/>
        <w:rPr>
          <w:i/>
          <w:i/>
          <w:iCs/>
        </w:rPr>
      </w:pPr>
      <w:r>
        <w:rPr>
          <w:i/>
          <w:iCs/>
        </w:rPr>
        <w:t xml:space="preserve">Source: From a 1999 Fred Sollish study </w:t>
      </w:r>
    </w:p>
    <w:p>
      <w:pPr>
        <w:pStyle w:val="BodyText"/>
        <w:rPr>
          <w:i/>
          <w:i/>
          <w:iCs/>
        </w:rPr>
      </w:pPr>
      <w:r>
        <w:rPr>
          <w:i/>
          <w:iCs/>
        </w:rPr>
      </w:r>
    </w:p>
    <w:p>
      <w:pPr>
        <w:pStyle w:val="BodyText"/>
        <w:rPr/>
      </w:pPr>
      <w:r>
        <w:rPr/>
        <w:t xml:space="preserve">This information reveals that the majority of purchases is of low risk to the company in terms of strategic importance and are high in value.  Ironically, the high price tag can also mean that by default they are of significant importance to the company if the organization is small by nature.  The Company’s service adheres well to products that have relatively low importance to the organization in terms of price and strategic impact.  In addition, the service is well suited for products that are in a relatively low complex market with a high number of suppliers competing for the business. </w:t>
      </w:r>
    </w:p>
    <w:p>
      <w:pPr>
        <w:pStyle w:val="BodyText"/>
        <w:rPr/>
      </w:pPr>
      <w:r>
        <w:rPr/>
      </w:r>
    </w:p>
    <w:p>
      <w:pPr>
        <w:pStyle w:val="BodyText"/>
        <w:rPr/>
      </w:pPr>
      <w:r>
        <w:rPr/>
      </w:r>
    </w:p>
    <w:p>
      <w:pPr>
        <w:pStyle w:val="BodyText"/>
        <w:rPr>
          <w:b/>
          <w:bCs/>
          <w:sz w:val="28"/>
        </w:rPr>
      </w:pPr>
      <w:r>
        <w:rPr>
          <w:b/>
          <w:bCs/>
          <w:sz w:val="28"/>
        </w:rPr>
        <w:t>SMB Defined</w:t>
      </w:r>
    </w:p>
    <w:p>
      <w:pPr>
        <w:pStyle w:val="BodyText"/>
        <w:rPr/>
      </w:pPr>
      <w:r>
        <w:rPr/>
        <w:t>The characteristics described in the above-mentioned discourse apply primarily to Global 2000 organizations.  Generally speaking, these enterprises necessitate more functionality, more system integration, and thus, seek an end-to-end solution for their procurement process.  It is critical to understand their requirements in order to fully appreciate the needs of smaller businesses that strive to grow their business and emulate the process efficiencies of their larger counterparts.  Although Smaller and Medium sized businesses (SMBs) often do not need all the functionality of larger more complex procurement systems.  However, as we shall explore in the Market Requirement section of this documents, SMBs have specific needs that have yet to be satisfied by the current marketplace.  Lets take a moment and explore the demographics provided by the Small Business Association (SBA):</w:t>
      </w:r>
    </w:p>
    <w:p>
      <w:pPr>
        <w:pStyle w:val="BodyText"/>
        <w:rPr/>
      </w:pPr>
      <w:r>
        <w:rPr/>
      </w:r>
    </w:p>
    <w:p>
      <w:pPr>
        <w:pStyle w:val="BodyText"/>
        <w:numPr>
          <w:ilvl w:val="0"/>
          <w:numId w:val="19"/>
        </w:numPr>
        <w:rPr/>
      </w:pPr>
      <w:r>
        <w:rPr/>
        <w:t>There are approximately 23 million small businesses in the U.S. and business formation is a fast growing trend.</w:t>
      </w:r>
    </w:p>
    <w:p>
      <w:pPr>
        <w:pStyle w:val="BodyText"/>
        <w:numPr>
          <w:ilvl w:val="0"/>
          <w:numId w:val="19"/>
        </w:numPr>
        <w:rPr/>
      </w:pPr>
      <w:r>
        <w:rPr/>
        <w:t>They provide virtually all of the net new jobs added to the economy</w:t>
      </w:r>
    </w:p>
    <w:p>
      <w:pPr>
        <w:pStyle w:val="BodyText"/>
        <w:numPr>
          <w:ilvl w:val="0"/>
          <w:numId w:val="19"/>
        </w:numPr>
        <w:rPr/>
      </w:pPr>
      <w:r>
        <w:rPr/>
        <w:t>Represent 99.7 percent of all employers</w:t>
      </w:r>
    </w:p>
    <w:p>
      <w:pPr>
        <w:pStyle w:val="BodyText"/>
        <w:numPr>
          <w:ilvl w:val="0"/>
          <w:numId w:val="19"/>
        </w:numPr>
        <w:rPr/>
      </w:pPr>
      <w:r>
        <w:rPr/>
        <w:t>Employ 53 percent of the private workforce</w:t>
      </w:r>
    </w:p>
    <w:p>
      <w:pPr>
        <w:pStyle w:val="BodyText"/>
        <w:numPr>
          <w:ilvl w:val="0"/>
          <w:numId w:val="19"/>
        </w:numPr>
        <w:rPr/>
      </w:pPr>
      <w:r>
        <w:rPr/>
        <w:t>Provide 47 percent of all sales in the country</w:t>
      </w:r>
    </w:p>
    <w:p>
      <w:pPr>
        <w:pStyle w:val="BodyText"/>
        <w:numPr>
          <w:ilvl w:val="0"/>
          <w:numId w:val="19"/>
        </w:numPr>
        <w:rPr/>
      </w:pPr>
      <w:r>
        <w:rPr/>
        <w:t>Provide 55 percent of innovations</w:t>
      </w:r>
    </w:p>
    <w:p>
      <w:pPr>
        <w:pStyle w:val="BodyText"/>
        <w:numPr>
          <w:ilvl w:val="0"/>
          <w:numId w:val="19"/>
        </w:numPr>
        <w:rPr/>
      </w:pPr>
      <w:r>
        <w:rPr/>
        <w:t>Account for 35 percent of federal contract dollars</w:t>
      </w:r>
    </w:p>
    <w:p>
      <w:pPr>
        <w:pStyle w:val="BodyText"/>
        <w:numPr>
          <w:ilvl w:val="0"/>
          <w:numId w:val="19"/>
        </w:numPr>
        <w:rPr/>
      </w:pPr>
      <w:r>
        <w:rPr/>
        <w:t>Account for 28 percent of jobs in high technology sectors</w:t>
      </w:r>
    </w:p>
    <w:p>
      <w:pPr>
        <w:pStyle w:val="BodyText"/>
        <w:numPr>
          <w:ilvl w:val="0"/>
          <w:numId w:val="19"/>
        </w:numPr>
        <w:rPr/>
      </w:pPr>
      <w:r>
        <w:rPr/>
        <w:t>Accounts for 51 percent of country’s GDP</w:t>
      </w:r>
    </w:p>
    <w:p>
      <w:pPr>
        <w:pStyle w:val="BodyText"/>
        <w:numPr>
          <w:ilvl w:val="0"/>
          <w:numId w:val="19"/>
        </w:numPr>
        <w:rPr/>
      </w:pPr>
      <w:r>
        <w:rPr/>
        <w:t>70 percent Internet penetration by 2002</w:t>
      </w:r>
    </w:p>
    <w:p>
      <w:pPr>
        <w:pStyle w:val="BodyText"/>
        <w:numPr>
          <w:ilvl w:val="0"/>
          <w:numId w:val="19"/>
        </w:numPr>
        <w:rPr/>
      </w:pPr>
      <w:r>
        <w:rPr/>
        <w:t>1.5 million small businesses with home pages by 2002</w:t>
      </w:r>
    </w:p>
    <w:p>
      <w:pPr>
        <w:pStyle w:val="BodyText"/>
        <w:numPr>
          <w:ilvl w:val="0"/>
          <w:numId w:val="19"/>
        </w:numPr>
        <w:rPr/>
      </w:pPr>
      <w:r>
        <w:rPr/>
        <w:t>The retail trade, construction, healthcare, food/agriculture, and professional, scientific, and technology services industries represented the core of small enterprises.</w:t>
      </w:r>
    </w:p>
    <w:p>
      <w:pPr>
        <w:pStyle w:val="BodyText"/>
        <w:rPr/>
      </w:pPr>
      <w:r>
        <w:rPr/>
      </w:r>
    </w:p>
    <w:p>
      <w:pPr>
        <w:pStyle w:val="BodyText"/>
        <w:rPr/>
      </w:pPr>
      <w:r>
        <w:rPr/>
        <w:t>In accordance with International Data Corporation (IDC), small businesses are defined as establishments with fewer than 100 employees.  IDC expects the number of small businesses to grow to 8 million in 2002 (compound annual rate of 2.8%).  A recent survey by IDC reveals that more than 31% of small businesses in the U.S. use the Internet to buy products while 11% use it to sell their products.  IDC also estimates that small businesses will generate 30% of worldwide Internet commerce revenue for 2003 while B2B representing the significant portion.</w:t>
      </w:r>
    </w:p>
    <w:p>
      <w:pPr>
        <w:pStyle w:val="BodyText"/>
        <w:rPr/>
      </w:pPr>
      <w:r>
        <w:rPr/>
      </w:r>
      <w:r>
        <w:br w:type="page"/>
      </w:r>
    </w:p>
    <w:p>
      <w:pPr>
        <w:pStyle w:val="BodyText"/>
        <w:spacing w:lineRule="auto" w:line="240"/>
        <w:rPr>
          <w:b/>
          <w:bCs/>
          <w:sz w:val="36"/>
        </w:rPr>
      </w:pPr>
      <w:r>
        <w:rPr>
          <w:b/>
          <w:bCs/>
          <w:sz w:val="36"/>
        </w:rPr>
        <w:t>THE B2B VALUE PROPOSITION</w:t>
      </w:r>
    </w:p>
    <w:p>
      <w:pPr>
        <w:pStyle w:val="BodyText"/>
        <w:spacing w:lineRule="auto" w:line="240"/>
        <w:rPr>
          <w:b/>
          <w:bCs/>
          <w:sz w:val="36"/>
        </w:rPr>
      </w:pPr>
      <w:r>
        <w:rPr>
          <w:b/>
          <w:bCs/>
          <w:sz w:val="36"/>
        </w:rPr>
        <w:t>___________________________________________</w:t>
      </w:r>
    </w:p>
    <w:p>
      <w:pPr>
        <w:pStyle w:val="BodyText"/>
        <w:rPr>
          <w:b/>
          <w:bCs/>
          <w:sz w:val="36"/>
        </w:rPr>
      </w:pPr>
      <w:r>
        <w:rPr>
          <w:b/>
          <w:bCs/>
          <w:sz w:val="36"/>
        </w:rPr>
      </w:r>
    </w:p>
    <w:p>
      <w:pPr>
        <w:pStyle w:val="BodyText"/>
        <w:rPr>
          <w:b/>
          <w:bCs/>
          <w:sz w:val="28"/>
        </w:rPr>
      </w:pPr>
      <w:r>
        <w:rPr>
          <w:b/>
          <w:bCs/>
          <w:sz w:val="28"/>
        </w:rPr>
        <w:t>Time-to-Market</w:t>
      </w:r>
    </w:p>
    <w:p>
      <w:pPr>
        <w:pStyle w:val="BodyText"/>
        <w:rPr/>
      </w:pPr>
      <w:r>
        <w:rPr/>
        <w:t>The principals of Perfect.com have indicated that is pressure from both the marketplace and the investment community to have a B2B strategy in place by the end of January 2000.  This document elevates the foundations for developing such a strategy.  The next step is to develop the product requirements that will lead to more detailed product specifications and a project plan by the end of February 2000.  It is anticipated that the B2B engineering and brand marketing efforts will spill into Q2 ‘00.  With the blessings of all parties involved, a public beta of the streamlined product is targeted for April 30</w:t>
      </w:r>
      <w:r>
        <w:rPr>
          <w:vertAlign w:val="superscript"/>
        </w:rPr>
        <w:t>th</w:t>
      </w:r>
      <w:r>
        <w:rPr/>
        <w:t>, the NAPM Conference.</w:t>
      </w:r>
    </w:p>
    <w:p>
      <w:pPr>
        <w:pStyle w:val="BodyText"/>
        <w:rPr/>
      </w:pPr>
      <w:r>
        <w:rPr/>
      </w:r>
    </w:p>
    <w:p>
      <w:pPr>
        <w:pStyle w:val="BodyText"/>
        <w:rPr>
          <w:b/>
          <w:bCs/>
          <w:sz w:val="28"/>
        </w:rPr>
      </w:pPr>
      <w:r>
        <w:rPr>
          <w:b/>
          <w:bCs/>
          <w:sz w:val="28"/>
        </w:rPr>
        <w:t xml:space="preserve">The Unique Selling Proposition </w:t>
      </w:r>
    </w:p>
    <w:p>
      <w:pPr>
        <w:pStyle w:val="BodyText"/>
        <w:rPr/>
      </w:pPr>
      <w:r>
        <w:rPr/>
        <w:t xml:space="preserve">Perfect.com is looking to leverage its existing C2B unique selling proposition (USP) where consumers can describe their needs on multiple dimensions and merchants (represented by software systems and rules) can make personalized offers to meet those needs.  In order to reproduce this ultimate buying experience for buyers and sellers alike in the B2B marketplace, Perfect.com must strive to bring to both parties near perfect market information.  This is described in economic terms as a buyer that has complete information on prices, warranties, delivery options, etc. and by a seller that knows exactly what a buyer wants and what each seller offers.  </w:t>
      </w:r>
    </w:p>
    <w:p>
      <w:pPr>
        <w:pStyle w:val="BodyText"/>
        <w:rPr/>
      </w:pPr>
      <w:r>
        <w:rPr/>
      </w:r>
    </w:p>
    <w:p>
      <w:pPr>
        <w:pStyle w:val="BodyText"/>
        <w:rPr/>
      </w:pPr>
      <w:r>
        <w:rPr/>
        <w:t xml:space="preserve">The goal is to offer a buyer-centric shopping service where Business Buyers can automate their buying patterns via a RFQ process by precisely describing their needs on multi-dimensions not just price and matching these with the seller that can more closely meet their needs in near real-time.  The initiative must take into consideration the current company underlying principle “Bring sellers to the buyer at precisely the right time with precisely the right information.”  The competitive advantage consists of two principal elements: one, give the buyer the opportunity to describe a portfolio of buying attributes and rank them by importance; and two, the proprietary software engine that finds the best seller match in near real-time based on their business rules/parameters.  At this time, there are no Internet plays in the procurement space offering these distinct elements.   </w:t>
      </w:r>
    </w:p>
    <w:p>
      <w:pPr>
        <w:pStyle w:val="BodyText"/>
        <w:rPr/>
      </w:pPr>
      <w:r>
        <w:rPr/>
      </w:r>
    </w:p>
    <w:p>
      <w:pPr>
        <w:pStyle w:val="BodyText"/>
        <w:rPr>
          <w:b/>
          <w:bCs/>
          <w:sz w:val="28"/>
        </w:rPr>
      </w:pPr>
      <w:r>
        <w:rPr>
          <w:b/>
          <w:bCs/>
          <w:sz w:val="28"/>
        </w:rPr>
        <w:t>Benefits to the Buyer</w:t>
      </w:r>
    </w:p>
    <w:p>
      <w:pPr>
        <w:pStyle w:val="BodyText"/>
        <w:rPr/>
      </w:pPr>
      <w:r>
        <w:rPr/>
        <w:t>The metamediary’s domain expertise positions it to identify the pain points in current business processes that need to be resolved.  Although buying and selling processes vary by industry, they have common characteristics that allow them to be generically defined.  The buyer benefits from solutions to current challenges in the eleven activities of the buying process:</w:t>
      </w:r>
    </w:p>
    <w:p>
      <w:pPr>
        <w:pStyle w:val="BodyText"/>
        <w:rPr/>
      </w:pPr>
      <w:r>
        <w:rPr/>
      </w:r>
    </w:p>
    <w:p>
      <w:pPr>
        <w:pStyle w:val="BodyText"/>
        <w:numPr>
          <w:ilvl w:val="0"/>
          <w:numId w:val="10"/>
        </w:numPr>
        <w:rPr>
          <w:i/>
          <w:i/>
          <w:iCs/>
        </w:rPr>
      </w:pPr>
      <w:r>
        <w:rPr>
          <w:i/>
          <w:iCs/>
        </w:rPr>
        <w:t xml:space="preserve">Searching:  </w:t>
      </w:r>
      <w:r>
        <w:rPr/>
        <w:t>The buyer gets faster access to both product and supplier recommendations databases.  The buyer also gets new and richer information in the context of a specific set of work requirements to better support business decisions.</w:t>
      </w:r>
    </w:p>
    <w:p>
      <w:pPr>
        <w:pStyle w:val="BodyText"/>
        <w:ind w:start="360" w:end="0"/>
        <w:rPr>
          <w:i/>
          <w:i/>
          <w:iCs/>
        </w:rPr>
      </w:pPr>
      <w:r>
        <w:rPr>
          <w:i/>
          <w:iCs/>
        </w:rPr>
      </w:r>
    </w:p>
    <w:p>
      <w:pPr>
        <w:pStyle w:val="BodyText"/>
        <w:numPr>
          <w:ilvl w:val="0"/>
          <w:numId w:val="10"/>
        </w:numPr>
        <w:rPr>
          <w:i/>
          <w:i/>
          <w:iCs/>
        </w:rPr>
      </w:pPr>
      <w:r>
        <w:rPr>
          <w:i/>
          <w:iCs/>
        </w:rPr>
        <w:t xml:space="preserve">Selecting:  </w:t>
      </w:r>
      <w:r>
        <w:rPr/>
        <w:t>The buyer gets access to a configuration tool to select the product attributes (feature set), the seller attributes (location, ranking, etc.), and the attributes of the deal (delivery, payment options, etc.).</w:t>
      </w:r>
    </w:p>
    <w:p>
      <w:pPr>
        <w:pStyle w:val="BodyText"/>
        <w:rPr>
          <w:i/>
          <w:i/>
          <w:iCs/>
        </w:rPr>
      </w:pPr>
      <w:r>
        <w:rPr>
          <w:i/>
          <w:iCs/>
        </w:rPr>
      </w:r>
    </w:p>
    <w:p>
      <w:pPr>
        <w:pStyle w:val="BodyText"/>
        <w:numPr>
          <w:ilvl w:val="0"/>
          <w:numId w:val="10"/>
        </w:numPr>
        <w:rPr>
          <w:i/>
          <w:i/>
          <w:iCs/>
        </w:rPr>
      </w:pPr>
      <w:r>
        <w:rPr>
          <w:i/>
          <w:iCs/>
        </w:rPr>
        <w:t xml:space="preserve">Evaluating:  </w:t>
      </w:r>
      <w:r>
        <w:rPr/>
        <w:t>The buyer doesn’t have to invent an unproven and complex evaluation scheme for it is an inherent characteristic of the automated software engine.</w:t>
      </w:r>
    </w:p>
    <w:p>
      <w:pPr>
        <w:pStyle w:val="BodyText"/>
        <w:rPr>
          <w:i/>
          <w:i/>
          <w:iCs/>
        </w:rPr>
      </w:pPr>
      <w:r>
        <w:rPr>
          <w:i/>
          <w:iCs/>
        </w:rPr>
      </w:r>
    </w:p>
    <w:p>
      <w:pPr>
        <w:pStyle w:val="BodyText"/>
        <w:numPr>
          <w:ilvl w:val="0"/>
          <w:numId w:val="10"/>
        </w:numPr>
        <w:rPr>
          <w:i/>
          <w:i/>
          <w:iCs/>
        </w:rPr>
      </w:pPr>
      <w:r>
        <w:rPr>
          <w:i/>
          <w:iCs/>
        </w:rPr>
        <w:t xml:space="preserve">Sourcing:  </w:t>
      </w:r>
      <w:r>
        <w:rPr/>
        <w:t>The buyer can automate this step, which includes the determination of which products are actually available, which sellers can actually deliver them, and when can the product be delivered.  By leveraging more efficient communication channels, buyers are enabled to communicate with a larger number of trading partners without incurring the costs of supporting a larger number of trading partner relationships.</w:t>
      </w:r>
    </w:p>
    <w:p>
      <w:pPr>
        <w:pStyle w:val="BodyText"/>
        <w:rPr>
          <w:i/>
          <w:i/>
          <w:iCs/>
        </w:rPr>
      </w:pPr>
      <w:r>
        <w:rPr>
          <w:i/>
          <w:iCs/>
        </w:rPr>
      </w:r>
    </w:p>
    <w:p>
      <w:pPr>
        <w:pStyle w:val="BodyText"/>
        <w:numPr>
          <w:ilvl w:val="0"/>
          <w:numId w:val="10"/>
        </w:numPr>
        <w:rPr>
          <w:i/>
          <w:i/>
          <w:iCs/>
        </w:rPr>
      </w:pPr>
      <w:r>
        <w:rPr>
          <w:i/>
          <w:iCs/>
        </w:rPr>
        <w:t xml:space="preserve">Ordering:  </w:t>
      </w:r>
      <w:r>
        <w:rPr/>
        <w:t>The ordering process involves negotiating and placing an order once a product and a supplier have been selected.  The ordering process involves two types of costs – internal workflow costs to get a purchase approved, and then the transaction costs to place the order.  The ordering process can be especially complex if a bill of materials is used to place an order and a variety of products need to be ordered from a number of suppliers.  By reducing the data entry errors that often manifest themselves as expensive problems later in the order process (such as shipment of the wrong product), significant costs are alleviated.  The system allows for the automation of the ordering process.</w:t>
      </w:r>
    </w:p>
    <w:p>
      <w:pPr>
        <w:pStyle w:val="BodyText"/>
        <w:rPr>
          <w:i/>
          <w:i/>
          <w:iCs/>
        </w:rPr>
      </w:pPr>
      <w:r>
        <w:rPr>
          <w:i/>
          <w:iCs/>
        </w:rPr>
      </w:r>
    </w:p>
    <w:p>
      <w:pPr>
        <w:pStyle w:val="BodyText"/>
        <w:numPr>
          <w:ilvl w:val="0"/>
          <w:numId w:val="10"/>
        </w:numPr>
        <w:rPr>
          <w:i/>
          <w:i/>
          <w:iCs/>
        </w:rPr>
      </w:pPr>
      <w:r>
        <w:rPr>
          <w:i/>
          <w:iCs/>
        </w:rPr>
        <w:t xml:space="preserve">Routing:  </w:t>
      </w:r>
      <w:r>
        <w:rPr/>
        <w:t>Once the order has been created, it needs to be routed to through the appropriate system to the appropriate sellers with relevant products and services.  The system enables the buyer to conduct streamlined business practices in a public marketplace while maintaining quality of service with key suppliers.</w:t>
      </w:r>
    </w:p>
    <w:p>
      <w:pPr>
        <w:pStyle w:val="BodyText"/>
        <w:rPr>
          <w:i/>
          <w:i/>
          <w:iCs/>
        </w:rPr>
      </w:pPr>
      <w:r>
        <w:rPr>
          <w:i/>
          <w:iCs/>
        </w:rPr>
      </w:r>
    </w:p>
    <w:p>
      <w:pPr>
        <w:pStyle w:val="BodyText"/>
        <w:numPr>
          <w:ilvl w:val="0"/>
          <w:numId w:val="10"/>
        </w:numPr>
        <w:rPr>
          <w:i/>
          <w:i/>
          <w:iCs/>
        </w:rPr>
      </w:pPr>
      <w:r>
        <w:rPr>
          <w:i/>
          <w:iCs/>
        </w:rPr>
        <w:t xml:space="preserve">Fulfillment:  </w:t>
      </w:r>
      <w:r>
        <w:rPr/>
        <w:t>Fulfillment consists of getting the purchased product to the customer.  As supply chains become more interdependent and inventory levels are kept low, buyers need better visibility into the status of their shipments.  Better visibility allows them to better manage any exceptions that may occur such as partial orders, backorders, and logistics tracking.  The system supplies third party delivery status tracking.</w:t>
      </w:r>
    </w:p>
    <w:p>
      <w:pPr>
        <w:pStyle w:val="BodyText"/>
        <w:rPr>
          <w:i/>
          <w:i/>
          <w:iCs/>
        </w:rPr>
      </w:pPr>
      <w:r>
        <w:rPr>
          <w:i/>
          <w:iCs/>
        </w:rPr>
      </w:r>
    </w:p>
    <w:p>
      <w:pPr>
        <w:pStyle w:val="BodyText"/>
        <w:numPr>
          <w:ilvl w:val="0"/>
          <w:numId w:val="10"/>
        </w:numPr>
        <w:rPr>
          <w:i/>
          <w:i/>
          <w:iCs/>
        </w:rPr>
      </w:pPr>
      <w:r>
        <w:rPr>
          <w:i/>
          <w:iCs/>
        </w:rPr>
        <w:t xml:space="preserve">Replenishment:  </w:t>
      </w:r>
      <w:r>
        <w:rPr/>
        <w:t>Companies, especially manufacturing companies, often reorder the same product at regular intervals.  Our system is particularly well suited for automating such an activity.  The replenishment process tends to require less time because no sourcing work needs to be done – the product has already been identified and the supplier base has already been found.  Replenishment orders can be triggered when certain inventory levels are reached, balancing the costs of carrying inventory with the risk of running out of inventory.  In addition to helping speed the reorder transaction, the system can be configured to assist in collecting other third-party information that would affect the reorder decision.  This could include weather patterns, demographic trends, or changes in industry buying patterns.</w:t>
      </w:r>
    </w:p>
    <w:p>
      <w:pPr>
        <w:pStyle w:val="BodyText"/>
        <w:rPr>
          <w:i/>
          <w:i/>
          <w:iCs/>
        </w:rPr>
      </w:pPr>
      <w:r>
        <w:rPr>
          <w:i/>
          <w:iCs/>
        </w:rPr>
      </w:r>
    </w:p>
    <w:p>
      <w:pPr>
        <w:pStyle w:val="BodyText"/>
        <w:numPr>
          <w:ilvl w:val="0"/>
          <w:numId w:val="10"/>
        </w:numPr>
        <w:rPr>
          <w:i/>
          <w:i/>
          <w:iCs/>
        </w:rPr>
      </w:pPr>
      <w:r>
        <w:rPr>
          <w:i/>
          <w:iCs/>
        </w:rPr>
        <w:t xml:space="preserve">Payment:  </w:t>
      </w:r>
      <w:r>
        <w:rPr/>
        <w:t>The private settlement between both buyer and seller encompasses the funds transfer and clearing via such channels as procurement cards, line of credit, electronic fund transfer (EFT).  This activity is handled through a third party competency and integrated into the system.</w:t>
      </w:r>
    </w:p>
    <w:p>
      <w:pPr>
        <w:pStyle w:val="BodyText"/>
        <w:rPr>
          <w:i/>
          <w:i/>
          <w:iCs/>
        </w:rPr>
      </w:pPr>
      <w:r>
        <w:rPr>
          <w:i/>
          <w:iCs/>
        </w:rPr>
      </w:r>
    </w:p>
    <w:p>
      <w:pPr>
        <w:pStyle w:val="BodyText"/>
        <w:numPr>
          <w:ilvl w:val="0"/>
          <w:numId w:val="10"/>
        </w:numPr>
        <w:rPr>
          <w:i/>
          <w:i/>
          <w:iCs/>
        </w:rPr>
      </w:pPr>
      <w:r>
        <w:rPr>
          <w:i/>
          <w:iCs/>
        </w:rPr>
        <w:t xml:space="preserve">Tracking and Support:  </w:t>
      </w:r>
      <w:r>
        <w:rPr/>
        <w:t>The system allow the buyer to manage both open Purchase Orders (POs) and open orders to track backorders, returns, etc.).</w:t>
      </w:r>
    </w:p>
    <w:p>
      <w:pPr>
        <w:pStyle w:val="BodyText"/>
        <w:rPr>
          <w:i/>
          <w:i/>
          <w:iCs/>
        </w:rPr>
      </w:pPr>
      <w:r>
        <w:rPr>
          <w:i/>
          <w:iCs/>
        </w:rPr>
      </w:r>
    </w:p>
    <w:p>
      <w:pPr>
        <w:pStyle w:val="BodyText"/>
        <w:numPr>
          <w:ilvl w:val="0"/>
          <w:numId w:val="10"/>
        </w:numPr>
        <w:rPr>
          <w:i/>
          <w:i/>
          <w:iCs/>
        </w:rPr>
      </w:pPr>
      <w:r>
        <w:rPr>
          <w:i/>
          <w:iCs/>
        </w:rPr>
        <w:t xml:space="preserve">Assessment:  </w:t>
      </w:r>
      <w:r>
        <w:rPr/>
        <w:t>The buyer has access to a log that contains historical information (products purchased, from which vendors, personal notes, prices, attributes of the deals, etc.) for better decision making and auditing.  The buyer is granted access to the supplier ratings and gets the opportunity to assess their performance and update behavior tracking.</w:t>
      </w:r>
    </w:p>
    <w:p>
      <w:pPr>
        <w:pStyle w:val="BodyText"/>
        <w:rPr>
          <w:i/>
          <w:i/>
          <w:iCs/>
        </w:rPr>
      </w:pPr>
      <w:r>
        <w:rPr>
          <w:i/>
          <w:iCs/>
        </w:rPr>
      </w:r>
    </w:p>
    <w:p>
      <w:pPr>
        <w:pStyle w:val="BodyText"/>
        <w:rPr/>
      </w:pPr>
      <w:r>
        <w:rPr/>
        <w:t xml:space="preserve">In addition to the benefits attributed with the buying process activities, buyers can reduce labor requirements for printing, mailing, faxing, and manually entering business documents such as orders and invoices.  The </w:t>
      </w:r>
      <w:r>
        <w:rPr>
          <w:i/>
          <w:iCs/>
        </w:rPr>
        <w:t>process cost</w:t>
      </w:r>
      <w:r>
        <w:rPr/>
        <w:t xml:space="preserve"> improvements are also aided with the speed by which the business processes are moved from computer to computer.  </w:t>
      </w:r>
      <w:r>
        <w:rPr>
          <w:i/>
          <w:iCs/>
        </w:rPr>
        <w:t>Transaction costs</w:t>
      </w:r>
      <w:r>
        <w:rPr/>
        <w:t xml:space="preserve"> related to the bilateral telephone and fax communications among known trading partners are an immediate benefit to the buyer.  </w:t>
      </w:r>
      <w:r>
        <w:rPr>
          <w:i/>
          <w:iCs/>
        </w:rPr>
        <w:t>Automating the information-intensive process of product and supplier searches significantly reduces search costs</w:t>
      </w:r>
      <w:r>
        <w:rPr/>
        <w:t xml:space="preserve">.  </w:t>
      </w:r>
      <w:r>
        <w:rPr>
          <w:i/>
          <w:iCs/>
        </w:rPr>
        <w:t>Workflow costs</w:t>
      </w:r>
      <w:r>
        <w:rPr/>
        <w:t xml:space="preserve">, including internal product selection and approval can be improved via the replenishment features of the system.  </w:t>
      </w:r>
      <w:r>
        <w:rPr>
          <w:i/>
          <w:iCs/>
        </w:rPr>
        <w:t>Fulfillment costs</w:t>
      </w:r>
      <w:r>
        <w:rPr/>
        <w:t xml:space="preserve"> can be attacked by providing current order delivery status information.  </w:t>
      </w:r>
      <w:r>
        <w:rPr>
          <w:i/>
          <w:iCs/>
        </w:rPr>
        <w:t>Ownership costs</w:t>
      </w:r>
      <w:r>
        <w:rPr/>
        <w:t xml:space="preserve"> can also be reduced by providing reminders to service products to extend their lifetime.  A central repository of product and warranty information provides the buyer with the reference needed for a later date.  Last but not least, product costs can be reduced not only because of demand aggregation opportunities but simply because there are more participants contacted and because a seller can pass on its process costs and carrying costs savings in the form of better pricing.</w:t>
      </w:r>
    </w:p>
    <w:p>
      <w:pPr>
        <w:pStyle w:val="BodyText"/>
        <w:rPr/>
      </w:pPr>
      <w:r>
        <w:rPr/>
      </w:r>
    </w:p>
    <w:p>
      <w:pPr>
        <w:pStyle w:val="BodyText"/>
        <w:rPr/>
      </w:pPr>
      <w:r>
        <w:rPr/>
        <w:t>The site allows the buyer to select relevant suppliers with which their product preferences and demographics are shared.  The solution also allows for anonymity as an option in case the buyer desires its identity to remain safe.  Depending on the type of RFQ, the system can find a match in real-time by ranking the alternatives based on the buyer’s preferences.</w:t>
      </w:r>
    </w:p>
    <w:p>
      <w:pPr>
        <w:pStyle w:val="BodyText"/>
        <w:rPr/>
      </w:pPr>
      <w:r>
        <w:rPr/>
      </w:r>
    </w:p>
    <w:p>
      <w:pPr>
        <w:pStyle w:val="BodyText"/>
        <w:rPr>
          <w:b/>
          <w:bCs/>
          <w:sz w:val="28"/>
        </w:rPr>
      </w:pPr>
      <w:r>
        <w:rPr>
          <w:b/>
          <w:bCs/>
          <w:sz w:val="28"/>
        </w:rPr>
        <w:t>Benefits to the Seller</w:t>
      </w:r>
    </w:p>
    <w:p>
      <w:pPr>
        <w:pStyle w:val="BodyText"/>
        <w:rPr/>
      </w:pPr>
      <w:r>
        <w:rPr/>
        <w:t>The Perfect.com experience can only be complete if it is mutually beneficial between both buyers and sellers.  The seller is granted the opportunity to take part in a completely new business and distribution channel without having to make major changes to its existing business, technology, and processes.  The seller is granted the ability to offer one set of prices and services publicly while, at the same time, maintaining private pricing and service agreements with its best customers.  The seller competes for each customer’s business based on detailed profile information and is granted complete access to individual preference and purchase behavior data.  The seller can showcase in addition to low pricing the full value of its products and services including the value-added components such as extended warranties, reputation for high quality and reliability, excellent service, extended support hours, liberal return policies, immediate availability and reasonable shipping policy.  The seller is enabled by having the opportunity to identify the high lifetime value of a buyer and adjust its business rules accordingly.   By having expert knowledge about its customers and the marketplace behavior, the seller can respond and scale to the changing needs of the marketplace with ease, speed and agility.  The seller also benefits from lower carrying, transaction, process, and marketing costs.</w:t>
      </w:r>
    </w:p>
    <w:p>
      <w:pPr>
        <w:pStyle w:val="BodyText"/>
        <w:rPr/>
      </w:pPr>
      <w:r>
        <w:rPr/>
      </w:r>
    </w:p>
    <w:p>
      <w:pPr>
        <w:pStyle w:val="BodyText"/>
        <w:rPr/>
      </w:pPr>
      <w:r>
        <w:rPr/>
        <w:t xml:space="preserve">By improving the flow of transactions and rationalizing communication channels, Perfect.com is positioned to provide the most valuable market feature – liquidity.  The expert system helps businesses speed transactions and reduces the number of human resources necessary for moving the information from business to business.  This improves operational velocity according to Bear, Stearns &amp; Company. </w:t>
      </w:r>
    </w:p>
    <w:p>
      <w:pPr>
        <w:pStyle w:val="BodyText"/>
        <w:rPr/>
      </w:pPr>
      <w:r>
        <w:rPr/>
      </w:r>
    </w:p>
    <w:p>
      <w:pPr>
        <w:pStyle w:val="BodyText"/>
        <w:rPr/>
      </w:pPr>
      <w:r>
        <w:rPr/>
        <w:t>By providing a single centralized marketplace of aggregated buyers and sellers (and their product needs or offerings), the metamediary improves its participants’ market reach.  By collecting hard-to-find information and organizing very liquid information, the metamediary acts as a gateway to centralize, organize, and serve the information about buyers’ needs and sellers’ offerings to its participants.  As this centralized hub of information becomes comprehensive, trading partners rely on a single communication channel to it, rather than multiple communication channels to each other.  Reducing these channels results in improved operational velocity.</w:t>
      </w:r>
    </w:p>
    <w:p>
      <w:pPr>
        <w:pStyle w:val="BodyText"/>
        <w:rPr/>
      </w:pPr>
      <w:r>
        <w:rPr/>
      </w:r>
    </w:p>
    <w:p>
      <w:pPr>
        <w:pStyle w:val="BodyText"/>
        <w:rPr/>
      </w:pPr>
      <w:r>
        <w:rPr/>
        <w:t>In an open trading community, the combination of improved reach provided by rationalized communication channels and improved velocity provided by automated transactions results in both market liquidity (more participants in the marketplace) and product liquidity (moving product that would not otherwise have sold).  Indeed, by helping to sell the “unsellable product”, product liquidity providers allow companies to generate revenues with a very low incremental cost of goods sold they would otherwise have reaped.  As a result, close to 100 percent of these incremental revenues goes straight to net income.  The report suggests that metamediaries that are able to identify markets that need the combined advantages of operational velocity, market liquidity and product liquidity – and effectively provide these three dimensions of value – will have the strongest value proposition.  Perfect.com is aiming to deliver on all three fronts.</w:t>
      </w:r>
    </w:p>
    <w:p>
      <w:pPr>
        <w:pStyle w:val="BodyText"/>
        <w:rPr/>
      </w:pPr>
      <w:r>
        <w:rPr/>
      </w:r>
    </w:p>
    <w:p>
      <w:pPr>
        <w:pStyle w:val="BodyText"/>
        <w:rPr>
          <w:b/>
          <w:bCs/>
          <w:sz w:val="28"/>
        </w:rPr>
      </w:pPr>
      <w:r>
        <w:rPr>
          <w:b/>
          <w:bCs/>
          <w:sz w:val="28"/>
        </w:rPr>
        <w:t>Strategic Positioning</w:t>
      </w:r>
    </w:p>
    <w:p>
      <w:pPr>
        <w:pStyle w:val="BodyText"/>
        <w:rPr/>
      </w:pPr>
      <w:r>
        <w:rPr/>
        <w:t>The core competency of Perfect.com is the automation of personalized offers for both C2B and B2B markets.  The Company is positioning itself as the engine for the next generation of e-commerce.  The engine being the proprietary function that optimized the trading strategy of both seller and buyer in a near perfect economic market.</w:t>
      </w:r>
    </w:p>
    <w:p>
      <w:pPr>
        <w:pStyle w:val="BodyText"/>
        <w:rPr/>
      </w:pPr>
      <w:r>
        <w:rPr/>
      </w:r>
    </w:p>
    <w:p>
      <w:pPr>
        <w:pStyle w:val="BodyText"/>
        <w:rPr/>
      </w:pPr>
      <w:r>
        <w:rPr/>
        <w:t>Although any business buyer can theoretically utilize the PerfectRfQ.com product, it probably will not at first.  Global 2000 enterprises will require proof of concept and an exhaustive feature set found in an end-to-end solution that integrates tightly to back end systems. The goal is not to compete head-to-head with the e-procurement front office players such as Ariba and CommerceOne but to offer a customizable personalized e-procurement solution for those who cannot afford to participate in the elite Club but still need to reap the benefits of such systems. It can be argued that our solution can be embedded in a more exhaustive e-procurement solution such as CommerceOne as a value-added service.</w:t>
      </w:r>
    </w:p>
    <w:p>
      <w:pPr>
        <w:pStyle w:val="BodyText"/>
        <w:rPr/>
      </w:pPr>
      <w:r>
        <w:rPr/>
      </w:r>
    </w:p>
    <w:p>
      <w:pPr>
        <w:pStyle w:val="BodyText"/>
        <w:rPr/>
      </w:pPr>
      <w:r>
        <w:rPr/>
        <w:t>In the long term, Perfect.com could hypothetically represent a portfolio of engines/auction types with different market rules so that the buyer could select the best one for his or her evaluation needs.  Another expert system, offered as part of the ASP model, could be built to recommend to buyer industry standard engine types and help buyer select the appropriate one for the task at hand.  If Perfect.com where to go that route, the proposition would become very attractive.</w:t>
      </w:r>
    </w:p>
    <w:p>
      <w:pPr>
        <w:pStyle w:val="BodyText"/>
        <w:rPr/>
      </w:pPr>
      <w:r>
        <w:rPr/>
      </w:r>
    </w:p>
    <w:p>
      <w:pPr>
        <w:pStyle w:val="BodyText"/>
        <w:rPr/>
      </w:pPr>
      <w:r>
        <w:rPr/>
        <w:t xml:space="preserve">SMB seems the appropriate market segment to go after at launch time because of their early adopters characteristics.  Although both 23 million SMB owners and the 800,000 professional buyers can utilize the RFQ system, the company’s focus for marketing purposes should gravitate at first towards the professional buyers who can best leverage the benefits such as replenishment. </w:t>
      </w:r>
    </w:p>
    <w:p>
      <w:pPr>
        <w:pStyle w:val="BodyText"/>
        <w:rPr/>
      </w:pPr>
      <w:r>
        <w:rPr/>
      </w:r>
    </w:p>
    <w:p>
      <w:pPr>
        <w:pStyle w:val="BodyText"/>
        <w:rPr/>
      </w:pPr>
      <w:r>
        <w:rPr/>
        <w:t>The company should consider targeting SMBs in vertical industries that meet the following attributes:</w:t>
      </w:r>
    </w:p>
    <w:p>
      <w:pPr>
        <w:pStyle w:val="BodyText"/>
        <w:rPr/>
      </w:pPr>
      <w:r>
        <w:rPr/>
      </w:r>
    </w:p>
    <w:p>
      <w:pPr>
        <w:pStyle w:val="BodyText"/>
        <w:numPr>
          <w:ilvl w:val="0"/>
          <w:numId w:val="16"/>
        </w:numPr>
        <w:rPr/>
      </w:pPr>
      <w:r>
        <w:rPr/>
        <w:t>Need for operational velocity (e.g. health)</w:t>
      </w:r>
    </w:p>
    <w:p>
      <w:pPr>
        <w:pStyle w:val="BodyText"/>
        <w:numPr>
          <w:ilvl w:val="0"/>
          <w:numId w:val="16"/>
        </w:numPr>
        <w:rPr/>
      </w:pPr>
      <w:r>
        <w:rPr/>
        <w:t>Need for market liquidity (e.g. electronics)</w:t>
      </w:r>
    </w:p>
    <w:p>
      <w:pPr>
        <w:pStyle w:val="BodyText"/>
        <w:numPr>
          <w:ilvl w:val="0"/>
          <w:numId w:val="16"/>
        </w:numPr>
        <w:rPr/>
      </w:pPr>
      <w:r>
        <w:rPr/>
        <w:t>Need for product liquidity (e.g. agriculture)</w:t>
      </w:r>
    </w:p>
    <w:p>
      <w:pPr>
        <w:pStyle w:val="BodyText"/>
        <w:numPr>
          <w:ilvl w:val="0"/>
          <w:numId w:val="16"/>
        </w:numPr>
        <w:rPr/>
      </w:pPr>
      <w:r>
        <w:rPr/>
        <w:t>Industry B2BeC of $10 billion or more by 2003 (e.g. manufacturing)</w:t>
      </w:r>
    </w:p>
    <w:p>
      <w:pPr>
        <w:pStyle w:val="BodyText"/>
        <w:numPr>
          <w:ilvl w:val="0"/>
          <w:numId w:val="16"/>
        </w:numPr>
        <w:rPr/>
      </w:pPr>
      <w:r>
        <w:rPr/>
        <w:t>30 percent Internet utilization rate (e.g. education)</w:t>
      </w:r>
    </w:p>
    <w:p>
      <w:pPr>
        <w:pStyle w:val="BodyText"/>
        <w:numPr>
          <w:ilvl w:val="0"/>
          <w:numId w:val="16"/>
        </w:numPr>
        <w:rPr/>
      </w:pPr>
      <w:r>
        <w:rPr/>
        <w:t>Established, thriving vertical infomediaries (e.g. chemical)</w:t>
      </w:r>
    </w:p>
    <w:p>
      <w:pPr>
        <w:pStyle w:val="BodyText"/>
        <w:numPr>
          <w:ilvl w:val="0"/>
          <w:numId w:val="16"/>
        </w:numPr>
        <w:rPr/>
      </w:pPr>
      <w:r>
        <w:rPr/>
        <w:t>Products where price is not the only currency (e.g. professional services)</w:t>
      </w:r>
    </w:p>
    <w:p>
      <w:pPr>
        <w:pStyle w:val="BodyText"/>
        <w:numPr>
          <w:ilvl w:val="0"/>
          <w:numId w:val="16"/>
        </w:numPr>
        <w:rPr/>
      </w:pPr>
      <w:r>
        <w:rPr/>
        <w:t>Opportunities for replenishment (e.g. construction)</w:t>
      </w:r>
    </w:p>
    <w:p>
      <w:pPr>
        <w:pStyle w:val="BodyText"/>
        <w:numPr>
          <w:ilvl w:val="0"/>
          <w:numId w:val="16"/>
        </w:numPr>
        <w:rPr/>
      </w:pPr>
      <w:r>
        <w:rPr/>
        <w:t>Require complex decision making (e.g. aerospace)</w:t>
      </w:r>
    </w:p>
    <w:p>
      <w:pPr>
        <w:pStyle w:val="BodyText"/>
        <w:numPr>
          <w:ilvl w:val="0"/>
          <w:numId w:val="16"/>
        </w:numPr>
        <w:rPr/>
      </w:pPr>
      <w:r>
        <w:rPr/>
        <w:t>Many SMB players (e.g. IT services)</w:t>
      </w:r>
    </w:p>
    <w:p>
      <w:pPr>
        <w:pStyle w:val="BodyText"/>
        <w:numPr>
          <w:ilvl w:val="0"/>
          <w:numId w:val="16"/>
        </w:numPr>
        <w:rPr/>
      </w:pPr>
      <w:r>
        <w:rPr/>
        <w:t>Opportunity for complementary value-added services (e.g. transport)</w:t>
      </w:r>
    </w:p>
    <w:p>
      <w:pPr>
        <w:pStyle w:val="BodyText"/>
        <w:rPr/>
      </w:pPr>
      <w:r>
        <w:rPr/>
      </w:r>
    </w:p>
    <w:p>
      <w:pPr>
        <w:pStyle w:val="BodyText"/>
        <w:rPr/>
      </w:pPr>
      <w:r>
        <w:rPr/>
        <w:t>In sum, although the product is available to all buyers, the recommended strategy is to roll out the product to a very well defined target market where the needs of both the buyer and the seller are well understood.  By identifying verticals that meet the criteria for selection, a domain expert and some basic market research can bring forth the necessary features, products, and suppliers to be added to the database.  After assessing the participants’ satisfaction and matching success, the site can be pushed towards new vertical channels.</w:t>
      </w:r>
    </w:p>
    <w:p>
      <w:pPr>
        <w:pStyle w:val="BodyText"/>
        <w:rPr/>
      </w:pPr>
      <w:r>
        <w:rPr/>
      </w:r>
    </w:p>
    <w:p>
      <w:pPr>
        <w:pStyle w:val="BodyText"/>
        <w:rPr/>
      </w:pPr>
      <w:r>
        <w:rPr/>
        <w:t>The B2B efforts are not meant to generate a product that will address all the needs of the many industry buyers, but rather to focus on delivering a user experience that is unbiased, streamlined, cost-effective, highly flexible and configurable – a RFQ tool that offers a simple proposition of delivering the right information at the right time.  “By driving the RFQ down-market, we are a priorie seeking buyers that know what they want, know who are the players on the sell-side, and are looking to automate these straightforward purchases so they concentrate on more strategic sourcing deals” according to Perfect.com’s CEO, Kevin Surace.  Although the B2B initiative needs to start somewhere, the company can be just that at the offset.  However, the site will become much more than that by metamorphosing into an expert system where buyers can be recommended industry-specific products, suppliers, industry standards, criteria for selection, market information, replenishment options, demographic trends, etc.  In essence, the buyer can be guided through the RFQ configuration and the automation of the transactions.</w:t>
      </w:r>
    </w:p>
    <w:p>
      <w:pPr>
        <w:pStyle w:val="BodyText"/>
        <w:rPr/>
      </w:pPr>
      <w:r>
        <w:rPr/>
      </w:r>
    </w:p>
    <w:p>
      <w:pPr>
        <w:pStyle w:val="BodyText"/>
        <w:rPr>
          <w:b/>
          <w:bCs/>
          <w:sz w:val="28"/>
        </w:rPr>
      </w:pPr>
      <w:r>
        <w:rPr>
          <w:b/>
          <w:bCs/>
          <w:sz w:val="28"/>
        </w:rPr>
        <w:t>The Revenue Model</w:t>
      </w:r>
    </w:p>
    <w:p>
      <w:pPr>
        <w:pStyle w:val="BodyText"/>
        <w:rPr/>
      </w:pPr>
      <w:r>
        <w:rPr/>
        <w:t xml:space="preserve">Metamediaries have the opportunity to monetize the cost reductions they facilitate through multiple sources of revenue.  Although the two most prevalent sources of revenue are advertising and transaction fees, there are others to contemplate such as membership fees, software licensing fees, market reports, management reports, third-party services, implementation and training services. </w:t>
      </w:r>
    </w:p>
    <w:p>
      <w:pPr>
        <w:pStyle w:val="BodyText"/>
        <w:rPr/>
      </w:pPr>
      <w:r>
        <w:rPr/>
      </w:r>
    </w:p>
    <w:p>
      <w:pPr>
        <w:pStyle w:val="BodyText"/>
        <w:rPr/>
      </w:pPr>
      <w:r>
        <w:rPr/>
        <w:t xml:space="preserve">The founding principle of the concept is to be unbiased by nature.  Because of this quality, advertising and sponsorship revenue will not be an integral part of the revenue model.  Because the product is still in its proof of concept phase, subscription fees are also not recommended for fear of causing unnecessary barriers-to-entry.  </w:t>
      </w:r>
    </w:p>
    <w:p>
      <w:pPr>
        <w:pStyle w:val="BodyText"/>
        <w:rPr/>
      </w:pPr>
      <w:r>
        <w:rPr/>
      </w:r>
    </w:p>
    <w:p>
      <w:pPr>
        <w:pStyle w:val="BodyText"/>
        <w:rPr/>
      </w:pPr>
      <w:r>
        <w:rPr/>
      </w:r>
    </w:p>
    <w:p>
      <w:pPr>
        <w:pStyle w:val="BodyText"/>
        <w:rPr/>
      </w:pPr>
      <w:r>
        <w:rPr/>
      </w:r>
    </w:p>
    <w:p>
      <w:pPr>
        <w:pStyle w:val="BodyText"/>
        <w:rPr/>
      </w:pPr>
      <w:r>
        <w:rPr/>
        <w:t>Four revenue streams are recommended:</w:t>
      </w:r>
    </w:p>
    <w:p>
      <w:pPr>
        <w:pStyle w:val="BodyText"/>
        <w:rPr/>
      </w:pPr>
      <w:r>
        <w:rPr/>
      </w:r>
    </w:p>
    <w:p>
      <w:pPr>
        <w:pStyle w:val="BodyText"/>
        <w:numPr>
          <w:ilvl w:val="0"/>
          <w:numId w:val="2"/>
        </w:numPr>
        <w:rPr>
          <w:i/>
          <w:i/>
          <w:iCs/>
        </w:rPr>
      </w:pPr>
      <w:r>
        <w:rPr>
          <w:i/>
          <w:iCs/>
        </w:rPr>
        <w:t xml:space="preserve">Transactions fees: </w:t>
      </w:r>
      <w:r>
        <w:rPr/>
        <w:t xml:space="preserve">Transaction revenue consists of the commission that is kept by the metamediary as a result of each transaction completed.  An advantage of the transaction fee model is that enables users to enter and browse a market without having to pay any fees for the privilege.  Nevertheless, navigating a transaction fee charge in a model that is anonymous can be tricky.  Multi-vendor marketplaces, such as those sought after, that charge significant fees will encourage users to use the market to identify trading partners, but then consummate transactions offline, or conduct replenishment orders offline, in order to avoid the transaction fee.  </w:t>
      </w:r>
    </w:p>
    <w:p>
      <w:pPr>
        <w:pStyle w:val="BodyText"/>
        <w:ind w:start="360" w:end="0"/>
        <w:rPr>
          <w:i/>
          <w:i/>
          <w:iCs/>
        </w:rPr>
      </w:pPr>
      <w:r>
        <w:rPr>
          <w:i/>
          <w:iCs/>
        </w:rPr>
      </w:r>
    </w:p>
    <w:p>
      <w:pPr>
        <w:pStyle w:val="BodyText"/>
        <w:ind w:start="720" w:end="0"/>
        <w:rPr/>
      </w:pPr>
      <w:r>
        <w:rPr/>
        <w:t>There are several potential ways to address this problem:</w:t>
      </w:r>
    </w:p>
    <w:p>
      <w:pPr>
        <w:pStyle w:val="BodyText"/>
        <w:numPr>
          <w:ilvl w:val="1"/>
          <w:numId w:val="2"/>
        </w:numPr>
        <w:rPr/>
      </w:pPr>
      <w:r>
        <w:rPr/>
        <w:t>Have the seller pay the transaction fee</w:t>
      </w:r>
    </w:p>
    <w:p>
      <w:pPr>
        <w:pStyle w:val="BodyText"/>
        <w:numPr>
          <w:ilvl w:val="1"/>
          <w:numId w:val="2"/>
        </w:numPr>
        <w:rPr/>
      </w:pPr>
      <w:r>
        <w:rPr/>
        <w:t>Maintain anonymity, but not business ranking, until a transaction has been consummated</w:t>
      </w:r>
    </w:p>
    <w:p>
      <w:pPr>
        <w:pStyle w:val="BodyText"/>
        <w:numPr>
          <w:ilvl w:val="1"/>
          <w:numId w:val="2"/>
        </w:numPr>
        <w:rPr/>
      </w:pPr>
      <w:r>
        <w:rPr/>
        <w:t>Provide additional value-added services (e.g. procurement functionality for replenishment)</w:t>
      </w:r>
    </w:p>
    <w:p>
      <w:pPr>
        <w:pStyle w:val="BodyText"/>
        <w:ind w:start="1080" w:end="0"/>
        <w:rPr/>
      </w:pPr>
      <w:r>
        <w:rPr/>
      </w:r>
    </w:p>
    <w:p>
      <w:pPr>
        <w:pStyle w:val="BodyText"/>
        <w:ind w:start="720" w:end="0"/>
        <w:rPr/>
      </w:pPr>
      <w:r>
        <w:rPr/>
        <w:t xml:space="preserve">According to Perfect.com’s Chairman, “we shouldn’t have to worry about leakage, if we provide enough value-add and stickiness for the customer to transact through us, he will.  If not, we need to understand why he left and re-adjust our offering accordingly.”  Hence, we shouldn’t have the seller bear the brunt of the transaction fee either, but should concentrate on having the “stickiness” necessary so that customers conduct business with us legitimately.  </w:t>
      </w:r>
    </w:p>
    <w:p>
      <w:pPr>
        <w:pStyle w:val="BodyText"/>
        <w:ind w:start="1080" w:end="0"/>
        <w:rPr/>
      </w:pPr>
      <w:r>
        <w:rPr/>
      </w:r>
    </w:p>
    <w:p>
      <w:pPr>
        <w:pStyle w:val="BodyText"/>
        <w:ind w:start="720" w:end="0"/>
        <w:rPr/>
      </w:pPr>
      <w:r>
        <w:rPr/>
        <w:t>Although, the company’s offerings are buyer-centric, the customers are both the buyer and the seller.  Hence, the transaction fee should be theoretically split in half by both parties.  Because reverse auctions are most likely to provide valuable product liquidity than say exchanges, they can charge the highest transaction fees (5% to 25% depending on the industry and the profit margins of the product).  It is recommended to start charging on the low end of this spectrum at first until more features are implemented and warrant a higher fee.  The rates should also be dependent on the industry and the state of liquidity that lies within.  The rates should also be a gradient tier system whereby higher dollar transactions are charged a lesser fee than lower orders.  Only industry-specific market research will determine a more precise pricing structure.</w:t>
      </w:r>
    </w:p>
    <w:p>
      <w:pPr>
        <w:pStyle w:val="BodyText"/>
        <w:ind w:start="1080" w:end="0"/>
        <w:rPr/>
      </w:pPr>
      <w:r>
        <w:rPr/>
      </w:r>
    </w:p>
    <w:p>
      <w:pPr>
        <w:pStyle w:val="BodyText"/>
        <w:numPr>
          <w:ilvl w:val="0"/>
          <w:numId w:val="2"/>
        </w:numPr>
        <w:rPr>
          <w:i/>
          <w:i/>
          <w:iCs/>
        </w:rPr>
      </w:pPr>
      <w:r>
        <w:rPr>
          <w:i/>
          <w:iCs/>
        </w:rPr>
        <w:t xml:space="preserve">Third-Party Services Revenue: </w:t>
      </w:r>
      <w:r>
        <w:rPr/>
        <w:t xml:space="preserve"> The Company can leverage its market intelligence of who has bought what in order to generate additional revenue streams.  For example, every time a product is purchased, the system can offer third-party warranties or service contracts and thus, extract referral fees.  As the company evolves from being product-centric (the horizontal process it addresses) to service-centric (addresses a collection of complementary activities), this revenue stream could become very significant to the revenue mix.</w:t>
      </w:r>
    </w:p>
    <w:p>
      <w:pPr>
        <w:pStyle w:val="BodyText"/>
        <w:rPr>
          <w:i/>
          <w:i/>
          <w:iCs/>
        </w:rPr>
      </w:pPr>
      <w:r>
        <w:rPr>
          <w:i/>
          <w:iCs/>
        </w:rPr>
      </w:r>
    </w:p>
    <w:p>
      <w:pPr>
        <w:pStyle w:val="BodyText"/>
        <w:numPr>
          <w:ilvl w:val="0"/>
          <w:numId w:val="2"/>
        </w:numPr>
        <w:tabs>
          <w:tab w:val="clear" w:pos="720"/>
          <w:tab w:val="left" w:pos="360" w:leader="none"/>
        </w:tabs>
        <w:rPr>
          <w:i/>
          <w:i/>
          <w:iCs/>
        </w:rPr>
      </w:pPr>
      <w:r>
        <w:rPr>
          <w:i/>
          <w:iCs/>
        </w:rPr>
        <w:t xml:space="preserve">Customized Reports Revenue:  </w:t>
      </w:r>
      <w:r>
        <w:rPr/>
        <w:t xml:space="preserve">Sellers are interested in understanding the demographics of their customer base, why buyers buy from their competition, and what features of any given products are customers really interested in.  Although the customer and competitive behavioral data does not provide contact disclosure, it provides an up-to-date mark-driven information tool that is critical to their marketing and product management efforts. </w:t>
      </w:r>
    </w:p>
    <w:p>
      <w:pPr>
        <w:pStyle w:val="BodyText"/>
        <w:rPr>
          <w:i/>
          <w:i/>
          <w:iCs/>
        </w:rPr>
      </w:pPr>
      <w:r>
        <w:rPr>
          <w:i/>
          <w:iCs/>
        </w:rPr>
      </w:r>
    </w:p>
    <w:p>
      <w:pPr>
        <w:pStyle w:val="BodyText"/>
        <w:ind w:start="720" w:end="0"/>
        <w:rPr/>
      </w:pPr>
      <w:r>
        <w:rPr/>
        <w:t xml:space="preserve">The company also sells on-demand value-added analysis in report formats as well as access to the anonymized data warehouse so that sellers can conduct their own data mining and fact finding missions.  With visibility of every purchase and sale that is occurring, the organization has the ability to compile the underlying data and create and sell market reports.  These reports can focus on supply and demand for various underlying components or market trends regarding regional demand.  </w:t>
      </w:r>
    </w:p>
    <w:p>
      <w:pPr>
        <w:pStyle w:val="BodyText"/>
        <w:ind w:start="720" w:end="0"/>
        <w:rPr/>
      </w:pPr>
      <w:r>
        <w:rPr/>
      </w:r>
    </w:p>
    <w:p>
      <w:pPr>
        <w:pStyle w:val="BodyText"/>
        <w:ind w:start="720" w:end="0"/>
        <w:rPr/>
      </w:pPr>
      <w:r>
        <w:rPr/>
        <w:t>Management reports can also be devised to show the performance of individuals or organization-wide summary data, including purchasing details, contract compliance information, and expected rebates.  In offering these types of reports, it is imperative that the company does not divulge company-specific proprietary information.</w:t>
      </w:r>
    </w:p>
    <w:p>
      <w:pPr>
        <w:pStyle w:val="BodyText"/>
        <w:rPr/>
      </w:pPr>
      <w:r>
        <w:rPr/>
      </w:r>
    </w:p>
    <w:p>
      <w:pPr>
        <w:pStyle w:val="BodyText"/>
        <w:numPr>
          <w:ilvl w:val="0"/>
          <w:numId w:val="2"/>
        </w:numPr>
        <w:rPr/>
      </w:pPr>
      <w:r>
        <w:rPr>
          <w:i/>
          <w:iCs/>
        </w:rPr>
        <w:t xml:space="preserve">Implementation and Training Services: </w:t>
      </w:r>
      <w:r>
        <w:rPr/>
        <w:t xml:space="preserve"> Buyers with more complex needs may require training or implementation services, providing another opportunity to generate revenue. Implementation services can consist of customizing the look and feel of the interface or the storefront to support unique business processes.  The buyer may require integration the embedded solution into their existing management systems to the marketplace or proprietary catalogs.  In some cases, participants may require to be trained on risk management and tool configuration to use the marketplace with the embedded solution.  </w:t>
      </w:r>
    </w:p>
    <w:p>
      <w:pPr>
        <w:pStyle w:val="BodyText"/>
        <w:rPr>
          <w:i/>
          <w:i/>
          <w:iCs/>
        </w:rPr>
      </w:pPr>
      <w:r>
        <w:rPr>
          <w:i/>
          <w:iCs/>
        </w:rPr>
      </w:r>
    </w:p>
    <w:p>
      <w:pPr>
        <w:pStyle w:val="BodyText"/>
        <w:rPr>
          <w:b/>
          <w:bCs/>
          <w:sz w:val="28"/>
        </w:rPr>
      </w:pPr>
      <w:r>
        <w:rPr>
          <w:b/>
          <w:bCs/>
          <w:sz w:val="28"/>
        </w:rPr>
        <w:t>The Product Portfolio</w:t>
      </w:r>
    </w:p>
    <w:p>
      <w:pPr>
        <w:pStyle w:val="BodyText"/>
        <w:rPr/>
      </w:pPr>
      <w:r>
        <w:rPr/>
        <w:t>Because of the inherent complexities of the B2BeC marketspace, two products are necessary to penetrate effectively – an embedded solution and a destination site.  Both are described in more detail in a user scenario.</w:t>
      </w:r>
    </w:p>
    <w:p>
      <w:pPr>
        <w:pStyle w:val="BodyText"/>
        <w:rPr/>
      </w:pPr>
      <w:r>
        <w:rPr/>
      </w:r>
    </w:p>
    <w:p>
      <w:pPr>
        <w:pStyle w:val="BodyText"/>
        <w:numPr>
          <w:ilvl w:val="0"/>
          <w:numId w:val="20"/>
        </w:numPr>
        <w:rPr/>
      </w:pPr>
      <w:r>
        <w:rPr>
          <w:b/>
          <w:bCs/>
        </w:rPr>
        <w:t>PerfectRFQ.com</w:t>
      </w:r>
      <w:r>
        <w:rPr/>
        <w:t xml:space="preserve"> will be the B2B multi-dimensional RFQ destination site.  Any buyers can browse, register, and/or define an RFQ.  The product is comprised of three building blocks:</w:t>
      </w:r>
    </w:p>
    <w:p>
      <w:pPr>
        <w:pStyle w:val="BodyText"/>
        <w:rPr/>
      </w:pPr>
      <w:r>
        <w:rPr/>
      </w:r>
    </w:p>
    <w:p>
      <w:pPr>
        <w:pStyle w:val="BodyText"/>
        <w:numPr>
          <w:ilvl w:val="0"/>
          <w:numId w:val="7"/>
        </w:numPr>
        <w:rPr>
          <w:i/>
          <w:i/>
          <w:iCs/>
        </w:rPr>
      </w:pPr>
      <w:r>
        <w:rPr>
          <w:i/>
          <w:iCs/>
        </w:rPr>
        <w:t xml:space="preserve">The Preferences Configurator: </w:t>
      </w:r>
      <w:r>
        <w:rPr/>
        <w:t>This is where a buyer defines the attributes of the product (the type, the brand, the quantity, the features, etc.), the attributes of the seller (the reputation ranking, the location, etc.), and the attributes of the deal (the return policy, the delivery options, etc.).  For each attribute, the buyer selects its importance relative to the other selection criteria.  This front-end application is represented by a basket of sliders – where the buyer selects from a database the appropriate criteria and adjusts their importance by sliding the ruler across the thermometer.</w:t>
      </w:r>
    </w:p>
    <w:p>
      <w:pPr>
        <w:pStyle w:val="BodyText"/>
        <w:rPr>
          <w:i/>
          <w:i/>
          <w:iCs/>
        </w:rPr>
      </w:pPr>
      <w:r>
        <w:rPr>
          <w:i/>
          <w:iCs/>
        </w:rPr>
      </w:r>
    </w:p>
    <w:p>
      <w:pPr>
        <w:pStyle w:val="BodyText"/>
        <w:numPr>
          <w:ilvl w:val="0"/>
          <w:numId w:val="7"/>
        </w:numPr>
        <w:rPr>
          <w:i/>
          <w:i/>
          <w:iCs/>
        </w:rPr>
      </w:pPr>
      <w:r>
        <w:rPr>
          <w:i/>
          <w:iCs/>
        </w:rPr>
        <w:t xml:space="preserve">The Multi-Dimensional Reverse Auction:  </w:t>
      </w:r>
      <w:r>
        <w:rPr/>
        <w:t>This proprietary software engine commands patented algorithms to serve up the best match between the buyer’s preferences configuration input and the sellers’ business rules configuration input.  This RFQ engine contains an n-dimensional reverse auction model that minimizes cost to sellers and maximizes the match to the buyer.  Once both the buyer and seller have registered and configured their engines, the software agent handles the RFQ process.</w:t>
      </w:r>
    </w:p>
    <w:p>
      <w:pPr>
        <w:pStyle w:val="BodyText"/>
        <w:rPr>
          <w:i/>
          <w:i/>
          <w:iCs/>
        </w:rPr>
      </w:pPr>
      <w:r>
        <w:rPr>
          <w:i/>
          <w:iCs/>
        </w:rPr>
      </w:r>
    </w:p>
    <w:p>
      <w:pPr>
        <w:pStyle w:val="BodyText"/>
        <w:numPr>
          <w:ilvl w:val="0"/>
          <w:numId w:val="7"/>
        </w:numPr>
        <w:rPr>
          <w:i/>
          <w:i/>
          <w:iCs/>
        </w:rPr>
      </w:pPr>
      <w:r>
        <w:rPr>
          <w:i/>
          <w:iCs/>
        </w:rPr>
        <w:t xml:space="preserve">The Business Rules Configurator: </w:t>
      </w:r>
      <w:r>
        <w:rPr/>
        <w:t>This back-end configuration application is represented by a portfolio of sliders, where the seller selects business rules (e.g. shipping, warranty, and return policies) and selects adjustment based on the customer and product information presented to him or her.</w:t>
      </w:r>
    </w:p>
    <w:p>
      <w:pPr>
        <w:pStyle w:val="BodyText"/>
        <w:rPr>
          <w:i/>
          <w:i/>
          <w:iCs/>
        </w:rPr>
      </w:pPr>
      <w:r>
        <w:rPr>
          <w:i/>
          <w:iCs/>
        </w:rPr>
      </w:r>
    </w:p>
    <w:p>
      <w:pPr>
        <w:pStyle w:val="BodyText"/>
        <w:numPr>
          <w:ilvl w:val="0"/>
          <w:numId w:val="20"/>
        </w:numPr>
        <w:rPr>
          <w:b/>
          <w:bCs/>
        </w:rPr>
      </w:pPr>
      <w:r>
        <w:rPr>
          <w:b/>
          <w:bCs/>
        </w:rPr>
        <w:t xml:space="preserve">The Powered by PerfectRFQ.com </w:t>
      </w:r>
      <w:r>
        <w:rPr/>
        <w:t>product is an embedded solution for vertical infomediaries (mostly exchanges) seeking to offer an n-dimensional RFQ horizontal service their value-added feature set.  The product works on the principles on an Application Service Provider (ASP) model.  The same three corner stone components are at work here except that the Preferences Configurator is defined by the infomediary.  Once a buyer commits to purchasing a pre-determined product on an infomediary, a representative at the site defines the configuration engine before sending the input to pre-qualified suppliers for bidding.  Once a certain mindshare has taken place, infomediaries will probably release the configuration engine directly to the end customer to alleviate the extra process costs.</w:t>
      </w:r>
    </w:p>
    <w:p>
      <w:pPr>
        <w:pStyle w:val="BodyText"/>
        <w:rPr>
          <w:b/>
          <w:bCs/>
        </w:rPr>
      </w:pPr>
      <w:r>
        <w:rPr>
          <w:b/>
          <w:bCs/>
        </w:rPr>
      </w:r>
    </w:p>
    <w:p>
      <w:pPr>
        <w:pStyle w:val="BodyText"/>
        <w:rPr>
          <w:b/>
          <w:bCs/>
          <w:sz w:val="28"/>
        </w:rPr>
      </w:pPr>
      <w:r>
        <w:rPr>
          <w:b/>
          <w:bCs/>
          <w:sz w:val="28"/>
        </w:rPr>
        <w:t>Powered by PerfectRFQ.com User Scenario</w:t>
      </w:r>
    </w:p>
    <w:p>
      <w:pPr>
        <w:pStyle w:val="BodyText"/>
        <w:rPr/>
      </w:pPr>
      <w:r>
        <w:rPr/>
        <w:t>Perfect.com’s Business Development Team recognizes that iPrint.com is a prime candidate for the B2B embedded solution.  The team calls upon the Product Management Team at iPrint.com and convinces them of the benefits of embedding the ASP product into their feature set as a value-added service to their clientele.  Both parties ink a deal whereby Perfect.com will customize the look and feel of the interface and integrate the pre-defined preferences configuration set for them.  iPrint.com contacts its network of pre-qualified printers nationwide and invites them to register and define their business rules configurators.  Although the application will be served up by Perfect.com’s server farm, the customer does not feel that he or she is running it outside of the iPrint.com Web site.  The product is finally customized and configured after two weeks of work.</w:t>
      </w:r>
    </w:p>
    <w:p>
      <w:pPr>
        <w:pStyle w:val="BodyText"/>
        <w:rPr/>
      </w:pPr>
      <w:r>
        <w:rPr/>
      </w:r>
    </w:p>
    <w:p>
      <w:pPr>
        <w:pStyle w:val="BodyText"/>
        <w:rPr/>
      </w:pPr>
      <w:r>
        <w:rPr/>
        <w:t>iPrint.com’s first customer orders 10,000 corporate brochures using its normal interface.  A representative from iPrint intercepts the order, adjust the importance of the attributes using the sliders of the preferences Configurator, and submits it to its network of registered printers.  The system identifies the local printers that have registered and pre-set their business rules and adjustments.  The RFQ engine crunches the data and submits the printers ranked by preferences in less than 30 seconds.  The representative chooses the do implement the end customer’s request via the second highest scored printer because of their strong return policy.  The rest of the buying process activities are performed by iPrint.com’s normal channels for payment, fulfillment, and quality assurance processes.</w:t>
      </w:r>
    </w:p>
    <w:p>
      <w:pPr>
        <w:pStyle w:val="BodyText"/>
        <w:rPr/>
      </w:pPr>
      <w:r>
        <w:rPr/>
      </w:r>
    </w:p>
    <w:p>
      <w:pPr>
        <w:pStyle w:val="BodyText"/>
        <w:rPr/>
      </w:pPr>
      <w:r>
        <w:rPr/>
        <w:t xml:space="preserve">The end customer never knows that PerfectRFQ.com powered the ordering process since the application worked as an underlying infrastructure component.  As soon as the end customer receives satisfactorily the product he or she had ordered, the payment process begins and Perfect.com receives a transaction fee for the service.  </w:t>
      </w:r>
    </w:p>
    <w:p>
      <w:pPr>
        <w:pStyle w:val="BodyText"/>
        <w:rPr/>
      </w:pPr>
      <w:r>
        <w:rPr/>
      </w:r>
    </w:p>
    <w:p>
      <w:pPr>
        <w:pStyle w:val="BodyText"/>
        <w:rPr/>
      </w:pPr>
      <w:r>
        <w:rPr/>
        <w:t>Eventually, iPrint will take the blindfold off and grant direct access to the preferences Configurator to the buyer.  Once the proof of concept phase is over and there’s enough PerfectRFQ.com mindshare in the marketplace, iPrint will desire a more streamlined approach and lower its process costs by giving the control to the buyer.</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PerfectRFQ.com User Scenario</w:t>
      </w:r>
    </w:p>
    <w:p>
      <w:pPr>
        <w:pStyle w:val="BodyText"/>
        <w:rPr/>
      </w:pPr>
      <w:r>
        <w:rPr/>
        <w:t>Eric Walker is a Purchasing Manager for California Home Builders.   The architect sent him a requisition for a table he needs in 10 days to be delivered at the sales office (no product or brand name, it just needs to look professional and accommodate a maquette of 10’ X 5’ feet).  The chief engineer sent him a requisition for 20 tons of aluminum coil with an alloy composition of 1100-H14 to be delivered at the construction site #3 in plastic bundles before the third end of business day.  The engineer also tells him that he will need the same shipment of aluminum every two weeks for a period of 4 months.  Eric now has a bill of materials on his hands and needs to execute the order.</w:t>
      </w:r>
    </w:p>
    <w:p>
      <w:pPr>
        <w:pStyle w:val="BodyText"/>
        <w:rPr/>
      </w:pPr>
      <w:r>
        <w:rPr/>
      </w:r>
    </w:p>
    <w:p>
      <w:pPr>
        <w:pStyle w:val="BodyText"/>
        <w:rPr/>
      </w:pPr>
      <w:r>
        <w:rPr/>
        <w:t xml:space="preserve">His company does not have an e-procurement front-end office package in place.  He doesn’t really need one either.  The last time he needed to fulfill an aluminum order he went to PerfectRFQ.com.  He registered himself as a buyer and set his preferences Configurator.  He invited four well-known aluminum suppliers by using the media kit provided by PerfectRFQ.com’s to register at the site and select their business rules complete with offer expiration date and price adjustments.  </w:t>
      </w:r>
    </w:p>
    <w:p>
      <w:pPr>
        <w:pStyle w:val="BodyText"/>
        <w:rPr/>
      </w:pPr>
      <w:r>
        <w:rPr/>
      </w:r>
    </w:p>
    <w:p>
      <w:pPr>
        <w:pStyle w:val="BodyText"/>
        <w:rPr/>
      </w:pPr>
      <w:r>
        <w:rPr/>
        <w:t xml:space="preserve">Eric logs on to PerfectRFQ.com using his user id and password.  He is greeted by a friendly personalized avatar (O.K. maybe not).  He selects Define a New RFQ and then selects a Bill of Materials format.  For his first product, the aluminum coil, he searches into his account for a product preference log he filled out last time.  He finds the aluminum product, seller, and deal attributes.  He edits his preferences to match the engineer’s requirements and sets it up for replenishment at regular intervals.  </w:t>
      </w:r>
    </w:p>
    <w:p>
      <w:pPr>
        <w:pStyle w:val="BodyText"/>
        <w:rPr/>
      </w:pPr>
      <w:r>
        <w:rPr/>
      </w:r>
    </w:p>
    <w:p>
      <w:pPr>
        <w:pStyle w:val="BodyText"/>
        <w:rPr/>
      </w:pPr>
      <w:r>
        <w:rPr/>
        <w:t>He submits the RFQ for the first product since different suppliers will handle both product types.  He receives an answer immediately since the sellers’ business rules were set and still valid.  The sellers are ranked by order of preference and he notices that its not the same seller as last time that’s on top because he couldn’t deliver the product within 3 business days.  He accepts the top choice and receives confirmation of the order.  He is given payment options via OrderTrust, shipping options via transport companies, and an option to purchase an insurance policy for the safe delivery of the product.  He makes his selections and receives a confirmation number and a tracking number, which he knows he can track via the third-party service providers.</w:t>
      </w:r>
    </w:p>
    <w:p>
      <w:pPr>
        <w:pStyle w:val="BodyText"/>
        <w:rPr/>
      </w:pPr>
      <w:r>
        <w:rPr/>
      </w:r>
    </w:p>
    <w:p>
      <w:pPr>
        <w:pStyle w:val="BodyText"/>
        <w:rPr/>
      </w:pPr>
      <w:r>
        <w:rPr/>
        <w:t xml:space="preserve">He returns to his bill of material to process the second product.  Since he was not given a specific product, he searches in the database for maquette tables and finds three products that meet the requirements of the architect.  He consults the unbiased product recommendation database and finds that the WingSpan table by Woodcarvers of America is the perfect product.  He also finds out via the database the best way to configure preferences for such a product by searching in the expert system for that industry.  He also needs to consult the office furniture database because he doesn’t know who supplies this product.  The search reveals six suppliers.  He consults the reputation rankings of each seller and notices that one supplier doesn’t meet his standards and that two have never entered the network.  He defines his RFQ and sends it to the five suppliers for review.  Eric doesn’t need to contact three of them because other buyers have done that in the past.  He contacts the other two and gives them 48 hours to register and configure their business rules.  36 hours later he receives confirmation that the suppliers have registered and that the RFQ is ready for processing by the engine.  He submits the RFQ and gets a ranking of the top performers.  </w:t>
      </w:r>
    </w:p>
    <w:p>
      <w:pPr>
        <w:pStyle w:val="BodyText"/>
        <w:rPr/>
      </w:pPr>
      <w:r>
        <w:rPr/>
      </w:r>
    </w:p>
    <w:p>
      <w:pPr>
        <w:pStyle w:val="BodyText"/>
        <w:rPr/>
      </w:pPr>
      <w:r>
        <w:rPr/>
        <w:t>Eric was able to manage his bill of material that encompassed different products from multiple suppliers.  He saw the status of the shipment and payment of his orders separately.  The process saved him time and money because he was able to find a supplier that offered the best match via the database.  He knows that every time he uses the system, he has less work to do since the system automates and records each transaction.</w:t>
      </w:r>
    </w:p>
    <w:p>
      <w:pPr>
        <w:pStyle w:val="BodyText"/>
        <w:rPr>
          <w:b/>
          <w:bCs/>
          <w:sz w:val="28"/>
        </w:rPr>
      </w:pPr>
      <w:r>
        <w:rPr>
          <w:b/>
          <w:bCs/>
          <w:sz w:val="28"/>
        </w:rPr>
      </w:r>
      <w:r>
        <w:br w:type="page"/>
      </w:r>
    </w:p>
    <w:p>
      <w:pPr>
        <w:pStyle w:val="BodyText"/>
        <w:spacing w:lineRule="auto" w:line="240"/>
        <w:rPr>
          <w:b/>
          <w:bCs/>
          <w:sz w:val="36"/>
        </w:rPr>
      </w:pPr>
      <w:r>
        <w:rPr>
          <w:b/>
          <w:bCs/>
          <w:sz w:val="36"/>
        </w:rPr>
        <w:t>MARKET REQUIREMENTS FOR THE SELLER</w:t>
      </w:r>
    </w:p>
    <w:p>
      <w:pPr>
        <w:pStyle w:val="BodyText"/>
        <w:spacing w:lineRule="auto" w:line="240"/>
        <w:rPr>
          <w:sz w:val="36"/>
        </w:rPr>
      </w:pPr>
      <w:r>
        <w:rPr>
          <w:sz w:val="36"/>
        </w:rPr>
        <w:t>___________________________________________</w:t>
      </w:r>
    </w:p>
    <w:p>
      <w:pPr>
        <w:pStyle w:val="BodyText"/>
        <w:rPr>
          <w:b/>
          <w:bCs/>
          <w:sz w:val="36"/>
        </w:rPr>
      </w:pPr>
      <w:r>
        <w:rPr>
          <w:b/>
          <w:bCs/>
          <w:sz w:val="36"/>
        </w:rPr>
      </w:r>
    </w:p>
    <w:p>
      <w:pPr>
        <w:pStyle w:val="BodyText"/>
        <w:rPr>
          <w:b/>
          <w:bCs/>
          <w:sz w:val="36"/>
        </w:rPr>
      </w:pPr>
      <w:r>
        <w:rPr/>
        <w:t>The previous sections of this document brought forth the context from which market requirements have evolved.  It is important to understand the marketplace, the customer, the competition, and the unique selling proposition of the offering before one can truly enumerate the participants’ market requirements.  Several market requirements are buried in the body of this document.  The following two sections will attempt to list the requirements for both the seller’s and the buyer’s perspectives.  In order to make it more visually appealing and easier to reference, the design elements of the C2B interface – the sliders -- have been leveraged.  Because the sliders are in a bitmap format, you cannot change the value the author has attributed to each requirement from this document.  A brief narrative and a slider will follow each requirement.  The “Must Have” requirements should be addressed in the Alpha Release.  The “Very Important” requirements should be addressed in the public Beta Release. The “More Important” and “Somewhat Important” can be part of future releases as additional features.</w:t>
      </w:r>
    </w:p>
    <w:p>
      <w:pPr>
        <w:pStyle w:val="BodyText"/>
        <w:rPr>
          <w:b/>
          <w:bCs/>
          <w:sz w:val="36"/>
        </w:rPr>
      </w:pPr>
      <w:r>
        <w:rPr>
          <w:b/>
          <w:bCs/>
          <w:sz w:val="36"/>
        </w:rPr>
      </w:r>
    </w:p>
    <w:p>
      <w:pPr>
        <w:pStyle w:val="BodyText"/>
        <w:rPr/>
      </w:pPr>
      <w:r>
        <w:rPr/>
      </w:r>
    </w:p>
    <w:p>
      <w:pPr>
        <w:pStyle w:val="BodyText"/>
        <w:rPr/>
      </w:pPr>
      <w:bookmarkStart w:id="0" w:name="_1009745331"/>
      <w:bookmarkStart w:id="1" w:name="_1009744778"/>
      <w:bookmarkEnd w:id="0"/>
      <w:bookmarkEnd w:id="1"/>
      <w:r>
        <w:rPr/>
        <w:object w:dxaOrig="3841" w:dyaOrig="631">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92.1pt;height:48.05pt" filled="f" o:ole="">
            <v:imagedata r:id="rId6" o:title=""/>
          </v:shape>
          <o:OLEObject Type="Embed" ProgID="" ShapeID="ole_rId5" DrawAspect="Content" ObjectID="_1971056291" r:id="rId5"/>
        </w:object>
      </w:r>
    </w:p>
    <w:p>
      <w:pPr>
        <w:pStyle w:val="BodyText"/>
        <w:rPr/>
      </w:pPr>
      <w:r>
        <w:rPr/>
        <w:drawing>
          <wp:inline distT="0" distB="0" distL="0" distR="0">
            <wp:extent cx="3708400" cy="6667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7"/>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drawing>
          <wp:inline distT="0" distB="0" distL="0" distR="0">
            <wp:extent cx="3708400" cy="62039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drawing>
          <wp:inline distT="0" distB="0" distL="0" distR="0">
            <wp:extent cx="3708400" cy="62039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9"/>
                    <a:srcRect l="-15" t="-89" r="-15" b="-89"/>
                    <a:stretch>
                      <a:fillRect/>
                    </a:stretch>
                  </pic:blipFill>
                  <pic:spPr bwMode="auto">
                    <a:xfrm>
                      <a:off x="0" y="0"/>
                      <a:ext cx="3708400" cy="620395"/>
                    </a:xfrm>
                    <a:prstGeom prst="rect">
                      <a:avLst/>
                    </a:prstGeom>
                    <a:noFill/>
                  </pic:spPr>
                </pic:pic>
              </a:graphicData>
            </a:graphic>
          </wp:inline>
        </w:drawing>
      </w:r>
    </w:p>
    <w:p>
      <w:pPr>
        <w:pStyle w:val="BodyText"/>
        <w:rPr>
          <w:b/>
          <w:bCs/>
          <w:sz w:val="28"/>
        </w:rPr>
      </w:pPr>
      <w:r>
        <w:rPr>
          <w:b/>
          <w:bCs/>
          <w:sz w:val="28"/>
        </w:rPr>
        <w:t>Sellers can Register Without Invitation</w:t>
      </w:r>
    </w:p>
    <w:p>
      <w:pPr>
        <w:pStyle w:val="BodyText"/>
        <w:rPr>
          <w:b/>
          <w:bCs/>
          <w:sz w:val="28"/>
        </w:rPr>
      </w:pPr>
      <w:r>
        <w:rPr>
          <w:b/>
          <w:bCs/>
          <w:sz w:val="28"/>
        </w:rPr>
      </w:r>
    </w:p>
    <w:p>
      <w:pPr>
        <w:pStyle w:val="BodyText"/>
        <w:rPr/>
      </w:pPr>
      <w:r>
        <w:rPr/>
        <w:drawing>
          <wp:inline distT="0" distB="0" distL="0" distR="0">
            <wp:extent cx="3708400" cy="62039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seller who hears about the PerfectRFQ.com service needs to be allowed to come to the site and register as a new supplier.  This will enable the seller to be part of the supplier network.  The supplier fills out a registration form.  If no information is available regarding his or her quality of service, no reputation rating will be available until a buyer conducts business with him or her.  This is similar to a self-affiliation model.</w:t>
      </w:r>
    </w:p>
    <w:p>
      <w:pPr>
        <w:pStyle w:val="BodyText"/>
        <w:rPr/>
      </w:pPr>
      <w:r>
        <w:rPr/>
      </w:r>
    </w:p>
    <w:p>
      <w:pPr>
        <w:pStyle w:val="BodyText"/>
        <w:rPr/>
      </w:pPr>
      <w:r>
        <w:rPr/>
      </w:r>
    </w:p>
    <w:p>
      <w:pPr>
        <w:pStyle w:val="BodyText"/>
        <w:rPr>
          <w:b/>
          <w:bCs/>
          <w:sz w:val="28"/>
        </w:rPr>
      </w:pPr>
      <w:r>
        <w:rPr>
          <w:b/>
          <w:bCs/>
          <w:sz w:val="28"/>
        </w:rPr>
        <w:t>Syndicate New Seller Reputation Rating</w:t>
      </w:r>
    </w:p>
    <w:p>
      <w:pPr>
        <w:pStyle w:val="BodyText"/>
        <w:rPr>
          <w:b/>
          <w:bCs/>
          <w:sz w:val="28"/>
        </w:rPr>
      </w:pPr>
      <w:r>
        <w:rPr>
          <w:b/>
          <w:bCs/>
          <w:sz w:val="28"/>
        </w:rPr>
      </w:r>
    </w:p>
    <w:p>
      <w:pPr>
        <w:pStyle w:val="BodyText"/>
        <w:rPr/>
      </w:pPr>
      <w:r>
        <w:rPr>
          <w:rFonts w:eastAsia="Arial"/>
          <w:b/>
          <w:bCs/>
          <w:sz w:val="28"/>
        </w:rPr>
        <w:t xml:space="preserve"> </w:t>
      </w:r>
      <w:r>
        <w:rPr/>
        <w:drawing>
          <wp:inline distT="0" distB="0" distL="0" distR="0">
            <wp:extent cx="3708400" cy="620395"/>
            <wp:effectExtent l="0" t="0" r="0" b="0"/>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1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reputation rating can be syndicated from either Dun &amp; Bradstreet or BizRate.com (although more in the C2B space) for those sellers who just joined the network and do not have any performance logs into the seller-rating database.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Seller Performance Capture</w:t>
      </w:r>
    </w:p>
    <w:p>
      <w:pPr>
        <w:pStyle w:val="BodyText"/>
        <w:rPr>
          <w:b/>
          <w:bCs/>
          <w:sz w:val="28"/>
        </w:rPr>
      </w:pPr>
      <w:r>
        <w:rPr>
          <w:b/>
          <w:bCs/>
          <w:sz w:val="28"/>
        </w:rPr>
      </w:r>
    </w:p>
    <w:p>
      <w:pPr>
        <w:pStyle w:val="BodyText"/>
        <w:rPr/>
      </w:pPr>
      <w:r>
        <w:rPr/>
        <w:drawing>
          <wp:inline distT="0" distB="0" distL="0" distR="0">
            <wp:extent cx="3708400" cy="620395"/>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1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Each time a transaction is conducted, a buyer is invited to submit an assessment regarding the performance of the supplier (i.e. shipped the right product, at the right time, at the right place, in good condition, etc.).  This information needs to be captured in a seller-rating database as important reference intelligence.</w:t>
      </w:r>
    </w:p>
    <w:p>
      <w:pPr>
        <w:pStyle w:val="BodyText"/>
        <w:rPr/>
      </w:pPr>
      <w:r>
        <w:rPr/>
      </w:r>
    </w:p>
    <w:p>
      <w:pPr>
        <w:pStyle w:val="BodyText"/>
        <w:rPr/>
      </w:pPr>
      <w:r>
        <w:rPr/>
      </w:r>
    </w:p>
    <w:p>
      <w:pPr>
        <w:pStyle w:val="BodyText"/>
        <w:rPr>
          <w:b/>
          <w:bCs/>
          <w:sz w:val="28"/>
        </w:rPr>
      </w:pPr>
      <w:r>
        <w:rPr>
          <w:b/>
          <w:bCs/>
          <w:sz w:val="28"/>
        </w:rPr>
        <w:t>Seller Demographics Capture</w:t>
      </w:r>
    </w:p>
    <w:p>
      <w:pPr>
        <w:pStyle w:val="BodyText"/>
        <w:rPr>
          <w:b/>
          <w:bCs/>
          <w:sz w:val="28"/>
        </w:rPr>
      </w:pPr>
      <w:r>
        <w:rPr>
          <w:b/>
          <w:bCs/>
          <w:sz w:val="28"/>
        </w:rPr>
      </w:r>
    </w:p>
    <w:p>
      <w:pPr>
        <w:pStyle w:val="BodyText"/>
        <w:rPr/>
      </w:pPr>
      <w:r>
        <w:rPr/>
        <w:drawing>
          <wp:inline distT="0" distB="0" distL="0" distR="0">
            <wp:extent cx="3708400" cy="620395"/>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1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In the registration process, the seller fills out a form that contains data such as name of sales agent, company name, address, phone number, e-mail address, industry type, popular products, etc.  This demographic data is captured in the seller demographic database and available for all registered buyers and sellers alike to view.  The seller only has the opportunity to update this information at any time.</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Available Seller Demo</w:t>
      </w:r>
    </w:p>
    <w:p>
      <w:pPr>
        <w:pStyle w:val="BodyText"/>
        <w:rPr>
          <w:b/>
          <w:bCs/>
          <w:sz w:val="28"/>
        </w:rPr>
      </w:pPr>
      <w:r>
        <w:rPr>
          <w:b/>
          <w:bCs/>
          <w:sz w:val="28"/>
        </w:rPr>
      </w:r>
    </w:p>
    <w:p>
      <w:pPr>
        <w:pStyle w:val="BodyText"/>
        <w:rPr/>
      </w:pPr>
      <w:r>
        <w:rPr/>
        <w:drawing>
          <wp:inline distT="0" distB="0" distL="0" distR="0">
            <wp:extent cx="3708400" cy="620395"/>
            <wp:effectExtent l="0" t="0" r="0" b="0"/>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1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Before any sellers actually submit any information to any system or service they have never heard before, they need to be reassured of the mechanics of the system, the proposition, and the benefits to them.  When sellers are invited to register they must take a simple tour before they can complete the registration process.  This demo also needs to be available at the seller log in page for reference.  </w:t>
      </w:r>
    </w:p>
    <w:p>
      <w:pPr>
        <w:pStyle w:val="BodyText"/>
        <w:rPr>
          <w:b/>
          <w:bCs/>
          <w:sz w:val="28"/>
        </w:rPr>
      </w:pPr>
      <w:r>
        <w:rPr>
          <w:b/>
          <w:bCs/>
          <w:sz w:val="28"/>
        </w:rPr>
      </w:r>
    </w:p>
    <w:p>
      <w:pPr>
        <w:pStyle w:val="BodyText"/>
        <w:rPr>
          <w:b/>
          <w:bCs/>
          <w:sz w:val="28"/>
        </w:rPr>
      </w:pPr>
      <w:r>
        <w:rPr>
          <w:b/>
          <w:bCs/>
          <w:sz w:val="28"/>
        </w:rPr>
        <w:t>Concise Privacy Policy</w:t>
      </w:r>
    </w:p>
    <w:p>
      <w:pPr>
        <w:pStyle w:val="BodyText"/>
        <w:rPr>
          <w:b/>
          <w:bCs/>
          <w:sz w:val="28"/>
        </w:rPr>
      </w:pPr>
      <w:r>
        <w:rPr>
          <w:b/>
          <w:bCs/>
          <w:sz w:val="28"/>
        </w:rPr>
      </w:r>
    </w:p>
    <w:p>
      <w:pPr>
        <w:pStyle w:val="BodyText"/>
        <w:rPr>
          <w:b/>
          <w:bCs/>
          <w:sz w:val="28"/>
        </w:rPr>
      </w:pPr>
      <w:r>
        <w:rPr/>
        <w:drawing>
          <wp:inline distT="0" distB="0" distL="0" distR="0">
            <wp:extent cx="3708400" cy="620395"/>
            <wp:effectExtent l="0" t="0" r="0" b="0"/>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5"/>
                    <a:srcRect l="-15" t="-89" r="-15" b="-89"/>
                    <a:stretch>
                      <a:fillRect/>
                    </a:stretch>
                  </pic:blipFill>
                  <pic:spPr bwMode="auto">
                    <a:xfrm>
                      <a:off x="0" y="0"/>
                      <a:ext cx="3708400" cy="620395"/>
                    </a:xfrm>
                    <a:prstGeom prst="rect">
                      <a:avLst/>
                    </a:prstGeom>
                    <a:noFill/>
                  </pic:spPr>
                </pic:pic>
              </a:graphicData>
            </a:graphic>
          </wp:inline>
        </w:drawing>
      </w:r>
    </w:p>
    <w:p>
      <w:pPr>
        <w:pStyle w:val="BodyText"/>
        <w:rPr>
          <w:b/>
          <w:bCs/>
          <w:sz w:val="28"/>
        </w:rPr>
      </w:pPr>
      <w:r>
        <w:rPr>
          <w:b/>
          <w:bCs/>
          <w:sz w:val="28"/>
        </w:rPr>
      </w:r>
    </w:p>
    <w:p>
      <w:pPr>
        <w:pStyle w:val="BodyText"/>
        <w:rPr/>
      </w:pPr>
      <w:r>
        <w:rPr/>
        <w:t>During the registration process, the seller is invited to review the privacy policy including the terms of the contract, how information is captured, how it is utilized, who will get access to it, and under what format.  The privacy policy must be clear and concise and more importantly cover all legal aspect of e-commerce trading.  The policy should also be available for reference on the main page of both Perfect.com and PerfectRFQ.com.</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Frequently Asked Questions</w:t>
      </w:r>
    </w:p>
    <w:p>
      <w:pPr>
        <w:pStyle w:val="BodyText"/>
        <w:rPr>
          <w:b/>
          <w:bCs/>
          <w:sz w:val="28"/>
        </w:rPr>
      </w:pPr>
      <w:r>
        <w:rPr>
          <w:b/>
          <w:bCs/>
          <w:sz w:val="28"/>
        </w:rPr>
      </w:r>
    </w:p>
    <w:p>
      <w:pPr>
        <w:pStyle w:val="BodyText"/>
        <w:rPr/>
      </w:pPr>
      <w:r>
        <w:rPr/>
        <w:drawing>
          <wp:inline distT="0" distB="0" distL="0" distR="0">
            <wp:extent cx="3708400" cy="620395"/>
            <wp:effectExtent l="0" t="0" r="0" b="0"/>
            <wp:docPr id="1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title=""/>
                    <pic:cNvPicPr>
                      <a:picLocks noChangeAspect="1" noChangeArrowheads="1"/>
                    </pic:cNvPicPr>
                  </pic:nvPicPr>
                  <pic:blipFill>
                    <a:blip r:embed="rId1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Frequently Asked Questions about the RFQ process, market intelligence, database query types, benefits to the seller, etc. should be available on the home page of both Perfect.com and PerfectRFQ.com for reference.</w:t>
      </w:r>
    </w:p>
    <w:p>
      <w:pPr>
        <w:pStyle w:val="BodyText"/>
        <w:rPr/>
      </w:pPr>
      <w:r>
        <w:rPr/>
      </w:r>
    </w:p>
    <w:p>
      <w:pPr>
        <w:pStyle w:val="BodyText"/>
        <w:rPr/>
      </w:pPr>
      <w:r>
        <w:rPr/>
      </w:r>
    </w:p>
    <w:p>
      <w:pPr>
        <w:pStyle w:val="BodyText"/>
        <w:rPr>
          <w:b/>
          <w:bCs/>
          <w:sz w:val="28"/>
        </w:rPr>
      </w:pPr>
      <w:r>
        <w:rPr>
          <w:b/>
          <w:bCs/>
          <w:sz w:val="28"/>
        </w:rPr>
        <w:t>Unique Identifier</w:t>
      </w:r>
    </w:p>
    <w:p>
      <w:pPr>
        <w:pStyle w:val="BodyText"/>
        <w:rPr>
          <w:b/>
          <w:bCs/>
          <w:sz w:val="28"/>
        </w:rPr>
      </w:pPr>
      <w:r>
        <w:rPr>
          <w:b/>
          <w:bCs/>
          <w:sz w:val="28"/>
        </w:rPr>
      </w:r>
    </w:p>
    <w:p>
      <w:pPr>
        <w:pStyle w:val="BodyText"/>
        <w:rPr/>
      </w:pPr>
      <w:r>
        <w:rPr/>
        <w:drawing>
          <wp:inline distT="0" distB="0" distL="0" distR="0">
            <wp:extent cx="3708400" cy="620395"/>
            <wp:effectExtent l="0" t="0" r="0" b="0"/>
            <wp:docPr id="1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title=""/>
                    <pic:cNvPicPr>
                      <a:picLocks noChangeAspect="1" noChangeArrowheads="1"/>
                    </pic:cNvPicPr>
                  </pic:nvPicPr>
                  <pic:blipFill>
                    <a:blip r:embed="rId1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seller must register to take part in the bidding process.  At completion of the registration process, the seller is asked to give both user identification and a password to log on.  The system generates a unique identifier for each individual (versus each company) ID and password.  A company can therefore have several users and therefore several unique identifiers.</w:t>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Intuitive User Interface</w:t>
      </w:r>
    </w:p>
    <w:p>
      <w:pPr>
        <w:pStyle w:val="BodyText"/>
        <w:rPr>
          <w:b/>
          <w:bCs/>
          <w:sz w:val="28"/>
        </w:rPr>
      </w:pPr>
      <w:r>
        <w:rPr>
          <w:b/>
          <w:bCs/>
          <w:sz w:val="28"/>
        </w:rPr>
      </w:r>
    </w:p>
    <w:p>
      <w:pPr>
        <w:pStyle w:val="BodyText"/>
        <w:rPr/>
      </w:pPr>
      <w:r>
        <w:rPr/>
        <w:drawing>
          <wp:inline distT="0" distB="0" distL="0" distR="0">
            <wp:extent cx="3708400" cy="620395"/>
            <wp:effectExtent l="0" t="0" r="0" b="0"/>
            <wp:docPr id="13"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title=""/>
                    <pic:cNvPicPr>
                      <a:picLocks noChangeAspect="1" noChangeArrowheads="1"/>
                    </pic:cNvPicPr>
                  </pic:nvPicPr>
                  <pic:blipFill>
                    <a:blip r:embed="rId1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user interface needs to be intuitive, simple, and consistent.  The seller should have its own entry door from the PerfectRFQ home page.</w:t>
      </w:r>
    </w:p>
    <w:p>
      <w:pPr>
        <w:pStyle w:val="BodyText"/>
        <w:rPr/>
      </w:pPr>
      <w:r>
        <w:rPr/>
      </w:r>
    </w:p>
    <w:p>
      <w:pPr>
        <w:pStyle w:val="BodyText"/>
        <w:rPr/>
      </w:pPr>
      <w:r>
        <w:rPr/>
      </w:r>
    </w:p>
    <w:p>
      <w:pPr>
        <w:pStyle w:val="BodyText"/>
        <w:rPr>
          <w:b/>
          <w:bCs/>
          <w:sz w:val="28"/>
        </w:rPr>
      </w:pPr>
      <w:r>
        <w:rPr>
          <w:b/>
          <w:bCs/>
          <w:sz w:val="28"/>
        </w:rPr>
        <w:t>Process Guide</w:t>
      </w:r>
    </w:p>
    <w:p>
      <w:pPr>
        <w:pStyle w:val="BodyText"/>
        <w:rPr>
          <w:b/>
          <w:bCs/>
          <w:sz w:val="28"/>
        </w:rPr>
      </w:pPr>
      <w:r>
        <w:rPr>
          <w:b/>
          <w:bCs/>
          <w:sz w:val="28"/>
        </w:rPr>
      </w:r>
    </w:p>
    <w:p>
      <w:pPr>
        <w:pStyle w:val="BodyText"/>
        <w:rPr/>
      </w:pPr>
      <w:r>
        <w:rPr/>
        <w:drawing>
          <wp:inline distT="0" distB="0" distL="0" distR="0">
            <wp:extent cx="3708400" cy="666750"/>
            <wp:effectExtent l="0" t="0" r="0" b="0"/>
            <wp:docPr id="14"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title=""/>
                    <pic:cNvPicPr>
                      <a:picLocks noChangeAspect="1" noChangeArrowheads="1"/>
                    </pic:cNvPicPr>
                  </pic:nvPicPr>
                  <pic:blipFill>
                    <a:blip r:embed="rId19"/>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It would nice for the seller to be able to know at any moment where he or she stands in terms of the registration, business rules, offer adjustment, and offer reviewing process.  The guide can be built into the interface so that a seller can see that he or she is on step 3 of 5 in the process.  A bubble could indicate the name of each step of the process (i.e. step 3 reveals it’s the shipping adjustment entry page when “moused over”).</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Marketing Defines Industry Segment Content</w:t>
      </w:r>
    </w:p>
    <w:p>
      <w:pPr>
        <w:pStyle w:val="BodyText"/>
        <w:rPr>
          <w:b/>
          <w:bCs/>
          <w:sz w:val="28"/>
        </w:rPr>
      </w:pPr>
      <w:r>
        <w:rPr>
          <w:b/>
          <w:bCs/>
          <w:sz w:val="28"/>
        </w:rPr>
      </w:r>
    </w:p>
    <w:p>
      <w:pPr>
        <w:pStyle w:val="BodyText"/>
        <w:rPr/>
      </w:pPr>
      <w:r>
        <w:rPr/>
        <w:drawing>
          <wp:inline distT="0" distB="0" distL="0" distR="0">
            <wp:extent cx="3708400" cy="666750"/>
            <wp:effectExtent l="0" t="0" r="0" b="0"/>
            <wp:docPr id="1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pic:cNvPicPr>
                      <a:picLocks noChangeAspect="1" noChangeArrowheads="1"/>
                    </pic:cNvPicPr>
                  </pic:nvPicPr>
                  <pic:blipFill>
                    <a:blip r:embed="rId20"/>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market research indicates that each industry encompasses different buying processes, buyer requirements, products, product attributes, and sellers.  If the marketing team invested in some “grass root” market research for each industry segment of interest, the database could be populated with more domain expertise.  A list of suppliers, popular products, industry standards, recommended attributes, etc. could be available for reference.  By building the database as an expert system, we increase the “stickiness” factor exponentially by guiding both sellers and buyers in their decision making.</w:t>
      </w:r>
    </w:p>
    <w:p>
      <w:pPr>
        <w:pStyle w:val="BodyText"/>
        <w:rPr/>
      </w:pPr>
      <w:r>
        <w:rPr/>
      </w:r>
    </w:p>
    <w:p>
      <w:pPr>
        <w:pStyle w:val="BodyText"/>
        <w:rPr/>
      </w:pPr>
      <w:r>
        <w:rPr/>
      </w:r>
    </w:p>
    <w:p>
      <w:pPr>
        <w:pStyle w:val="BodyText"/>
        <w:rPr/>
      </w:pPr>
      <w:r>
        <w:rPr/>
      </w:r>
    </w:p>
    <w:p>
      <w:pPr>
        <w:pStyle w:val="BodyText"/>
        <w:rPr>
          <w:b/>
          <w:bCs/>
          <w:sz w:val="28"/>
        </w:rPr>
      </w:pPr>
      <w:r>
        <w:rPr>
          <w:b/>
          <w:bCs/>
          <w:sz w:val="28"/>
        </w:rPr>
        <w:t>Creation and Maintenance of Business Rules</w:t>
      </w:r>
    </w:p>
    <w:p>
      <w:pPr>
        <w:pStyle w:val="BodyText"/>
        <w:rPr>
          <w:b/>
          <w:bCs/>
          <w:sz w:val="28"/>
        </w:rPr>
      </w:pPr>
      <w:r>
        <w:rPr>
          <w:b/>
          <w:bCs/>
          <w:sz w:val="28"/>
        </w:rPr>
      </w:r>
    </w:p>
    <w:p>
      <w:pPr>
        <w:pStyle w:val="BodyText"/>
        <w:rPr/>
      </w:pPr>
      <w:r>
        <w:rPr/>
        <w:drawing>
          <wp:inline distT="0" distB="0" distL="0" distR="0">
            <wp:extent cx="3708400" cy="620395"/>
            <wp:effectExtent l="0" t="0" r="0" b="0"/>
            <wp:docPr id="1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pic:cNvPicPr>
                      <a:picLocks noChangeAspect="1" noChangeArrowheads="1"/>
                    </pic:cNvPicPr>
                  </pic:nvPicPr>
                  <pic:blipFill>
                    <a:blip r:embed="rId2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Sellers must define their business rules  (i.e. shipping, warranty, extended service plan, return policy, volume discounts, bonus items, manufacturer’s rebates, pricing, etc.) to part take in the bidding process.  Supplier rules, the default parameters, must be defined according by sellers according to their business strengths and their preferences for liquidity.  Department rules, which override the supplier rules can also be defined if need be to define offerings within a particular department.  Stock Keeping Unit (SKU) rules can also be defined for particular SKU and will override all other supplier and department rules.  Each rule has specific options attached to them for selection.  Business rules can be maintained and updated at any time by the seller.  All information must be entered accurately.  This information is maintained in confidence.  </w:t>
      </w:r>
    </w:p>
    <w:p>
      <w:pPr>
        <w:pStyle w:val="BodyText"/>
        <w:rPr/>
      </w:pPr>
      <w:r>
        <w:rPr/>
      </w:r>
    </w:p>
    <w:p>
      <w:pPr>
        <w:pStyle w:val="BodyText"/>
        <w:rPr/>
      </w:pPr>
      <w:r>
        <w:rPr/>
      </w:r>
    </w:p>
    <w:p>
      <w:pPr>
        <w:pStyle w:val="BodyText"/>
        <w:rPr>
          <w:b/>
          <w:bCs/>
          <w:sz w:val="28"/>
        </w:rPr>
      </w:pPr>
      <w:r>
        <w:rPr>
          <w:b/>
          <w:bCs/>
          <w:sz w:val="28"/>
        </w:rPr>
        <w:t>Offer Adjustment Preferences</w:t>
      </w:r>
    </w:p>
    <w:p>
      <w:pPr>
        <w:pStyle w:val="BodyText"/>
        <w:rPr>
          <w:b/>
          <w:bCs/>
          <w:sz w:val="28"/>
        </w:rPr>
      </w:pPr>
      <w:r>
        <w:rPr>
          <w:b/>
          <w:bCs/>
          <w:sz w:val="28"/>
        </w:rPr>
      </w:r>
    </w:p>
    <w:p>
      <w:pPr>
        <w:pStyle w:val="BodyText"/>
        <w:rPr/>
      </w:pPr>
      <w:r>
        <w:rPr/>
        <w:drawing>
          <wp:inline distT="0" distB="0" distL="0" distR="0">
            <wp:extent cx="3708400" cy="620395"/>
            <wp:effectExtent l="0" t="0" r="0" b="0"/>
            <wp:docPr id="1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pic:cNvPicPr>
                      <a:picLocks noChangeAspect="1" noChangeArrowheads="1"/>
                    </pic:cNvPicPr>
                  </pic:nvPicPr>
                  <pic:blipFill>
                    <a:blip r:embed="rId2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Sellers must also define their offer adjustments to part take in a bidding because the RFQ engine tabulates the data given in the business rules, reputation ratings, and offer adjustments to create Value Scores.  The seller with the highest score wins the reverse auction and is recommended to the buyer as the best match.  Each business rules is coupled with an adjustment offer or a variance percentage.  The seller can maintain this confidential information.</w:t>
      </w:r>
    </w:p>
    <w:p>
      <w:pPr>
        <w:pStyle w:val="BodyText"/>
        <w:rPr/>
      </w:pPr>
      <w:r>
        <w:rPr/>
      </w:r>
    </w:p>
    <w:p>
      <w:pPr>
        <w:pStyle w:val="BodyText"/>
        <w:rPr/>
      </w:pPr>
      <w:r>
        <w:rPr/>
      </w:r>
    </w:p>
    <w:p>
      <w:pPr>
        <w:pStyle w:val="BodyText"/>
        <w:rPr>
          <w:b/>
          <w:bCs/>
          <w:sz w:val="28"/>
        </w:rPr>
      </w:pPr>
      <w:r>
        <w:rPr>
          <w:b/>
          <w:bCs/>
          <w:sz w:val="28"/>
        </w:rPr>
        <w:t>Automated Seller Account</w:t>
      </w:r>
    </w:p>
    <w:p>
      <w:pPr>
        <w:pStyle w:val="BodyText"/>
        <w:rPr>
          <w:b/>
          <w:bCs/>
          <w:sz w:val="28"/>
        </w:rPr>
      </w:pPr>
      <w:r>
        <w:rPr>
          <w:b/>
          <w:bCs/>
          <w:sz w:val="28"/>
        </w:rPr>
      </w:r>
    </w:p>
    <w:p>
      <w:pPr>
        <w:pStyle w:val="BodyText"/>
        <w:rPr/>
      </w:pPr>
      <w:r>
        <w:rPr/>
        <w:drawing>
          <wp:inline distT="0" distB="0" distL="0" distR="0">
            <wp:extent cx="3708400" cy="620395"/>
            <wp:effectExtent l="0" t="0" r="0" b="0"/>
            <wp:docPr id="18"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title=""/>
                    <pic:cNvPicPr>
                      <a:picLocks noChangeAspect="1" noChangeArrowheads="1"/>
                    </pic:cNvPicPr>
                  </pic:nvPicPr>
                  <pic:blipFill>
                    <a:blip r:embed="rId2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Every seller has access to a password protected personal account.  The static data found here consists of personal profile, business rules, adjustments, number of deals, product attributes, deal attributes, buyer names, number of bids, success rate, open orders, etc.  “My Account” provides historical data that can be utilized for defining future offers.  This can be accessed via the home page of PerfectRFQ.com.</w:t>
      </w:r>
    </w:p>
    <w:p>
      <w:pPr>
        <w:pStyle w:val="BodyText"/>
        <w:rPr/>
      </w:pPr>
      <w:r>
        <w:rPr/>
      </w:r>
    </w:p>
    <w:p>
      <w:pPr>
        <w:pStyle w:val="BodyText"/>
        <w:rPr/>
      </w:pPr>
      <w:r>
        <w:rPr/>
      </w:r>
    </w:p>
    <w:p>
      <w:pPr>
        <w:pStyle w:val="BodyText"/>
        <w:rPr>
          <w:b/>
          <w:bCs/>
          <w:sz w:val="28"/>
        </w:rPr>
      </w:pPr>
      <w:r>
        <w:rPr>
          <w:b/>
          <w:bCs/>
          <w:sz w:val="28"/>
        </w:rPr>
        <w:t>Access to Market Intelligence</w:t>
      </w:r>
    </w:p>
    <w:p>
      <w:pPr>
        <w:pStyle w:val="BodyText"/>
        <w:rPr>
          <w:b/>
          <w:bCs/>
          <w:sz w:val="28"/>
        </w:rPr>
      </w:pPr>
      <w:r>
        <w:rPr>
          <w:b/>
          <w:bCs/>
          <w:sz w:val="28"/>
        </w:rPr>
      </w:r>
    </w:p>
    <w:p>
      <w:pPr>
        <w:pStyle w:val="BodyText"/>
        <w:rPr/>
      </w:pPr>
      <w:r>
        <w:rPr/>
        <w:drawing>
          <wp:inline distT="0" distB="0" distL="0" distR="0">
            <wp:extent cx="3708400" cy="620395"/>
            <wp:effectExtent l="0" t="0" r="0" b="0"/>
            <wp:docPr id="19"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 title=""/>
                    <pic:cNvPicPr>
                      <a:picLocks noChangeAspect="1" noChangeArrowheads="1"/>
                    </pic:cNvPicPr>
                  </pic:nvPicPr>
                  <pic:blipFill>
                    <a:blip r:embed="rId2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Sellers will typically want to review relevant market intelligence before defining their business rules.  Hence, sellers should be given the opportunity to attain market intelligence during the business rules definition process for the betterment of their decisions.  </w:t>
      </w:r>
    </w:p>
    <w:p>
      <w:pPr>
        <w:pStyle w:val="BodyText"/>
        <w:rPr/>
      </w:pPr>
      <w:r>
        <w:rPr/>
      </w:r>
    </w:p>
    <w:p>
      <w:pPr>
        <w:pStyle w:val="BodyText"/>
        <w:rPr/>
      </w:pPr>
      <w:r>
        <w:rPr/>
      </w:r>
    </w:p>
    <w:p>
      <w:pPr>
        <w:pStyle w:val="BodyText"/>
        <w:rPr/>
      </w:pPr>
      <w:r>
        <w:rPr/>
      </w:r>
    </w:p>
    <w:p>
      <w:pPr>
        <w:pStyle w:val="BodyText"/>
        <w:rPr>
          <w:b/>
          <w:bCs/>
          <w:sz w:val="28"/>
        </w:rPr>
      </w:pPr>
      <w:r>
        <w:rPr>
          <w:b/>
          <w:bCs/>
          <w:sz w:val="28"/>
        </w:rPr>
        <w:t>Offer Simulations</w:t>
      </w:r>
    </w:p>
    <w:p>
      <w:pPr>
        <w:pStyle w:val="BodyText"/>
        <w:rPr>
          <w:b/>
          <w:bCs/>
          <w:sz w:val="28"/>
        </w:rPr>
      </w:pPr>
      <w:r>
        <w:rPr>
          <w:b/>
          <w:bCs/>
          <w:sz w:val="28"/>
        </w:rPr>
      </w:r>
    </w:p>
    <w:p>
      <w:pPr>
        <w:pStyle w:val="BodyText"/>
        <w:rPr/>
      </w:pPr>
      <w:r>
        <w:rPr/>
        <w:object w:dxaOrig="3841" w:dyaOrig="631">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292.1pt;height:48.05pt" filled="f" o:ole="">
            <v:imagedata r:id="rId26" o:title=""/>
          </v:shape>
          <o:OLEObject Type="Embed" ProgID="" ShapeID="ole_rId25" DrawAspect="Content" ObjectID="_364418830" r:id="rId25"/>
        </w:object>
      </w:r>
    </w:p>
    <w:p>
      <w:pPr>
        <w:pStyle w:val="BodyText"/>
        <w:rPr/>
      </w:pPr>
      <w:r>
        <w:rPr/>
      </w:r>
    </w:p>
    <w:p>
      <w:pPr>
        <w:pStyle w:val="BodyText"/>
        <w:rPr/>
      </w:pPr>
      <w:r>
        <w:rPr/>
        <w:t>This is a more involved process, thus slated for a later release, but nonetheless a very valuable tool.  Sellers could run simulation models by defining offers and having a simulation engine crunch the data and respond with scenarios based on the input.  This could be provided as a premium service once the database has collected enough information to make the results statistically relevant.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Access to Buyer Ratings</w:t>
      </w:r>
    </w:p>
    <w:p>
      <w:pPr>
        <w:pStyle w:val="BodyText"/>
        <w:rPr>
          <w:b/>
          <w:bCs/>
          <w:sz w:val="28"/>
        </w:rPr>
      </w:pPr>
      <w:r>
        <w:rPr>
          <w:b/>
          <w:bCs/>
          <w:sz w:val="28"/>
        </w:rPr>
      </w:r>
    </w:p>
    <w:p>
      <w:pPr>
        <w:pStyle w:val="BodyText"/>
        <w:rPr/>
      </w:pPr>
      <w:r>
        <w:rPr/>
        <w:drawing>
          <wp:inline distT="0" distB="0" distL="0" distR="0">
            <wp:extent cx="3708400" cy="666750"/>
            <wp:effectExtent l="0" t="0" r="0" b="0"/>
            <wp:docPr id="20"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 title=""/>
                    <pic:cNvPicPr>
                      <a:picLocks noChangeAspect="1" noChangeArrowheads="1"/>
                    </pic:cNvPicPr>
                  </pic:nvPicPr>
                  <pic:blipFill>
                    <a:blip r:embed="rId27"/>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In order to make a more informed decision, sellers want to know what kind of buyer they are dealing with.  Hence, when a buyer submits an RFQ and the seller receives notice (or when he defines the buyer rules), offers can be adjusted based on the buyer rating.  This rating consists of information such as credit worthiness, lifetime value of the customer, buying patterns, etc.</w:t>
      </w:r>
    </w:p>
    <w:p>
      <w:pPr>
        <w:pStyle w:val="BodyText"/>
        <w:rPr/>
      </w:pPr>
      <w:r>
        <w:rPr/>
      </w:r>
    </w:p>
    <w:p>
      <w:pPr>
        <w:pStyle w:val="BodyText"/>
        <w:rPr/>
      </w:pPr>
      <w:r>
        <w:rPr/>
      </w:r>
    </w:p>
    <w:p>
      <w:pPr>
        <w:pStyle w:val="BodyText"/>
        <w:rPr>
          <w:b/>
          <w:bCs/>
          <w:sz w:val="28"/>
        </w:rPr>
      </w:pPr>
      <w:r>
        <w:rPr>
          <w:b/>
          <w:bCs/>
          <w:sz w:val="28"/>
        </w:rPr>
        <w:t>Buyer Rules</w:t>
      </w:r>
    </w:p>
    <w:p>
      <w:pPr>
        <w:pStyle w:val="BodyText"/>
        <w:rPr>
          <w:b/>
          <w:bCs/>
          <w:sz w:val="28"/>
        </w:rPr>
      </w:pPr>
      <w:r>
        <w:rPr>
          <w:b/>
          <w:bCs/>
          <w:sz w:val="28"/>
        </w:rPr>
      </w:r>
    </w:p>
    <w:p>
      <w:pPr>
        <w:pStyle w:val="BodyText"/>
        <w:rPr/>
      </w:pPr>
      <w:r>
        <w:rPr/>
        <w:drawing>
          <wp:inline distT="0" distB="0" distL="0" distR="0">
            <wp:extent cx="3708400" cy="620395"/>
            <wp:effectExtent l="0" t="0" r="0" b="0"/>
            <wp:docPr id="21"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 title=""/>
                    <pic:cNvPicPr>
                      <a:picLocks noChangeAspect="1" noChangeArrowheads="1"/>
                    </pic:cNvPicPr>
                  </pic:nvPicPr>
                  <pic:blipFill>
                    <a:blip r:embed="rId2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Sellers need to personalized offers based on whom they are dealing.  Strategic supplier relationships are important in the B2B arena.  Hence, suppliers want to more aggressive in the offer when dealing with a preferred buyer.  In addition to the three existing rules for C2B, buyer rules should be part of the rule system for the B2B product.  Buyer anonymity can still be kept by simply submitting data such as preferred buyer or tier 1 versus tier 2 buyer.</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Access to Competitive Information</w:t>
      </w:r>
    </w:p>
    <w:p>
      <w:pPr>
        <w:pStyle w:val="BodyText"/>
        <w:rPr>
          <w:b/>
          <w:bCs/>
          <w:sz w:val="28"/>
        </w:rPr>
      </w:pPr>
      <w:r>
        <w:rPr>
          <w:b/>
          <w:bCs/>
          <w:sz w:val="28"/>
        </w:rPr>
      </w:r>
    </w:p>
    <w:p>
      <w:pPr>
        <w:pStyle w:val="BodyText"/>
        <w:rPr/>
      </w:pPr>
      <w:r>
        <w:rPr/>
        <w:drawing>
          <wp:inline distT="0" distB="0" distL="0" distR="0">
            <wp:extent cx="3708400" cy="666750"/>
            <wp:effectExtent l="0" t="0" r="0" b="0"/>
            <wp:docPr id="22"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 descr="" title=""/>
                    <pic:cNvPicPr>
                      <a:picLocks noChangeAspect="1" noChangeArrowheads="1"/>
                    </pic:cNvPicPr>
                  </pic:nvPicPr>
                  <pic:blipFill>
                    <a:blip r:embed="rId29"/>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 xml:space="preserve">Sellers will adjust their offer based on not only the information about the buyer, but also to test the elasticity of demand, the propensity for product liquidity, the need for new customers, and to react to competitors’ bids.  Because of the second sealed bid process, sellers can realize the aggressiveness of their competitors’ offers (identities are not revealed) and by consequence, can adjust their offer to gain a higher Value Score.  </w:t>
      </w:r>
    </w:p>
    <w:p>
      <w:pPr>
        <w:pStyle w:val="BodyText"/>
        <w:rPr/>
      </w:pPr>
      <w:r>
        <w:rPr/>
      </w:r>
    </w:p>
    <w:p>
      <w:pPr>
        <w:pStyle w:val="BodyText"/>
        <w:rPr/>
      </w:pPr>
      <w:r>
        <w:rPr/>
      </w:r>
    </w:p>
    <w:p>
      <w:pPr>
        <w:pStyle w:val="BodyText"/>
        <w:rPr>
          <w:b/>
          <w:bCs/>
          <w:sz w:val="28"/>
        </w:rPr>
      </w:pPr>
      <w:r>
        <w:rPr>
          <w:b/>
          <w:bCs/>
          <w:sz w:val="28"/>
        </w:rPr>
        <w:t>Substitute Offer Option</w:t>
      </w:r>
    </w:p>
    <w:p>
      <w:pPr>
        <w:pStyle w:val="BodyText"/>
        <w:rPr>
          <w:b/>
          <w:bCs/>
          <w:sz w:val="28"/>
        </w:rPr>
      </w:pPr>
      <w:r>
        <w:rPr>
          <w:b/>
          <w:bCs/>
          <w:sz w:val="28"/>
        </w:rPr>
      </w:r>
    </w:p>
    <w:p>
      <w:pPr>
        <w:pStyle w:val="BodyText"/>
        <w:rPr/>
      </w:pPr>
      <w:r>
        <w:rPr/>
        <w:drawing>
          <wp:inline distT="0" distB="0" distL="0" distR="0">
            <wp:extent cx="3708400" cy="666750"/>
            <wp:effectExtent l="0" t="0" r="0" b="0"/>
            <wp:docPr id="23"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descr="" title=""/>
                    <pic:cNvPicPr>
                      <a:picLocks noChangeAspect="1" noChangeArrowheads="1"/>
                    </pic:cNvPicPr>
                  </pic:nvPicPr>
                  <pic:blipFill>
                    <a:blip r:embed="rId30"/>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If a buyer selects a criteria called “Will accept close substitute offers”, a seller must be able to respond.  In business, RFQ are can often only be partially met.  The supplier can react to the need for 2 tons of polished aluminum coil to be delivered in 3 days with a close substitute of 2 tons of brushed aluminum coil delivered in 3 days with a 5% additional discount.  The seller must be able to respond in the substitute section of the offer with a close response based on the importance of the product or deal attributes.  The system must be able to attribute a value score to both the normal offer and the substitute offer for each seller.</w:t>
      </w:r>
    </w:p>
    <w:p>
      <w:pPr>
        <w:pStyle w:val="BodyText"/>
        <w:rPr/>
      </w:pPr>
      <w:r>
        <w:rPr/>
      </w:r>
    </w:p>
    <w:p>
      <w:pPr>
        <w:pStyle w:val="BodyText"/>
        <w:rPr/>
      </w:pPr>
      <w:r>
        <w:rPr/>
      </w:r>
    </w:p>
    <w:p>
      <w:pPr>
        <w:pStyle w:val="BodyText"/>
        <w:rPr>
          <w:b/>
          <w:bCs/>
          <w:sz w:val="28"/>
        </w:rPr>
      </w:pPr>
      <w:r>
        <w:rPr>
          <w:b/>
          <w:bCs/>
          <w:sz w:val="28"/>
        </w:rPr>
        <w:t>Standard Cataloging Protocols</w:t>
      </w:r>
    </w:p>
    <w:p>
      <w:pPr>
        <w:pStyle w:val="BodyText"/>
        <w:rPr>
          <w:b/>
          <w:bCs/>
          <w:sz w:val="28"/>
        </w:rPr>
      </w:pPr>
      <w:r>
        <w:rPr>
          <w:b/>
          <w:bCs/>
          <w:sz w:val="28"/>
        </w:rPr>
      </w:r>
    </w:p>
    <w:p>
      <w:pPr>
        <w:pStyle w:val="BodyText"/>
        <w:rPr/>
      </w:pPr>
      <w:r>
        <w:rPr/>
        <w:drawing>
          <wp:inline distT="0" distB="0" distL="0" distR="0">
            <wp:extent cx="3708400" cy="620395"/>
            <wp:effectExtent l="0" t="0" r="0" b="0"/>
            <wp:docPr id="24"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descr="" title=""/>
                    <pic:cNvPicPr>
                      <a:picLocks noChangeAspect="1" noChangeArrowheads="1"/>
                    </pic:cNvPicPr>
                  </pic:nvPicPr>
                  <pic:blipFill>
                    <a:blip r:embed="rId3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In the B2B marketplace, RFQs are often defined with a series of part numbers or SKUs.  The seller must be able to interpret the part number into a tangible product.  Standard cataloging protocols must be utilized on both the buy and sell side for describing a product and its attributes.  Both Harbinger and Requisite offer data rationalization and cleansing services.</w:t>
      </w:r>
    </w:p>
    <w:p>
      <w:pPr>
        <w:pStyle w:val="BodyText"/>
        <w:rPr/>
      </w:pPr>
      <w:r>
        <w:rPr/>
      </w:r>
    </w:p>
    <w:p>
      <w:pPr>
        <w:pStyle w:val="BodyText"/>
        <w:rPr/>
      </w:pPr>
      <w:r>
        <w:rPr/>
      </w:r>
    </w:p>
    <w:p>
      <w:pPr>
        <w:pStyle w:val="BodyText"/>
        <w:rPr/>
      </w:pPr>
      <w:r>
        <w:rPr/>
      </w:r>
    </w:p>
    <w:p>
      <w:pPr>
        <w:pStyle w:val="BodyText"/>
        <w:rPr>
          <w:b/>
          <w:bCs/>
          <w:sz w:val="28"/>
        </w:rPr>
      </w:pPr>
      <w:r>
        <w:rPr>
          <w:b/>
          <w:bCs/>
          <w:sz w:val="28"/>
        </w:rPr>
        <w:t>Digital Signature Option</w:t>
      </w:r>
    </w:p>
    <w:p>
      <w:pPr>
        <w:pStyle w:val="BodyText"/>
        <w:rPr>
          <w:b/>
          <w:bCs/>
          <w:sz w:val="28"/>
        </w:rPr>
      </w:pPr>
      <w:r>
        <w:rPr>
          <w:b/>
          <w:bCs/>
          <w:sz w:val="28"/>
        </w:rPr>
      </w:r>
    </w:p>
    <w:p>
      <w:pPr>
        <w:pStyle w:val="BodyText"/>
        <w:rPr/>
      </w:pPr>
      <w:r>
        <w:rPr/>
        <w:object w:dxaOrig="3841" w:dyaOrig="631">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92.1pt;height:48.05pt" filled="f" o:ole="">
            <v:imagedata r:id="rId33" o:title=""/>
          </v:shape>
          <o:OLEObject Type="Embed" ProgID="" ShapeID="ole_rId32" DrawAspect="Content" ObjectID="_1820474366" r:id="rId32"/>
        </w:object>
      </w:r>
    </w:p>
    <w:p>
      <w:pPr>
        <w:pStyle w:val="BodyText"/>
        <w:rPr/>
      </w:pPr>
      <w:r>
        <w:rPr/>
      </w:r>
    </w:p>
    <w:p>
      <w:pPr>
        <w:pStyle w:val="BodyText"/>
        <w:rPr/>
      </w:pPr>
      <w:r>
        <w:rPr/>
        <w:t>Certain vertical industries such as public education and government procurement require signatures for RFQs exceeding a threshold amount.  Digital signatures such as the ones supplied by VeriSign are now legally binding in a rapidly growing number of States.  If the Company wants to play in these large markets, such a solution will have to be made available to the seller for review by the seller.  Obtaining the digital signature authorization is a process where the seller would have to be guided through to ensure successful completion.  This can be offered as an option where Perfect.com holds an inventory of digital signatures and resells them to suppliers.</w:t>
      </w:r>
    </w:p>
    <w:p>
      <w:pPr>
        <w:pStyle w:val="BodyText"/>
        <w:rPr/>
      </w:pPr>
      <w:r>
        <w:rPr/>
      </w:r>
    </w:p>
    <w:p>
      <w:pPr>
        <w:pStyle w:val="BodyText"/>
        <w:rPr/>
      </w:pPr>
      <w:r>
        <w:rPr/>
      </w:r>
    </w:p>
    <w:p>
      <w:pPr>
        <w:pStyle w:val="BodyText"/>
        <w:rPr>
          <w:b/>
          <w:bCs/>
          <w:sz w:val="28"/>
        </w:rPr>
      </w:pPr>
      <w:r>
        <w:rPr>
          <w:b/>
          <w:bCs/>
          <w:sz w:val="28"/>
        </w:rPr>
        <w:t>Offer Expiration Feature</w:t>
      </w:r>
    </w:p>
    <w:p>
      <w:pPr>
        <w:pStyle w:val="BodyText"/>
        <w:rPr>
          <w:b/>
          <w:bCs/>
          <w:sz w:val="28"/>
        </w:rPr>
      </w:pPr>
      <w:r>
        <w:rPr>
          <w:b/>
          <w:bCs/>
          <w:sz w:val="28"/>
        </w:rPr>
      </w:r>
    </w:p>
    <w:p>
      <w:pPr>
        <w:pStyle w:val="BodyText"/>
        <w:rPr/>
      </w:pPr>
      <w:r>
        <w:rPr/>
        <w:drawing>
          <wp:inline distT="0" distB="0" distL="0" distR="0">
            <wp:extent cx="3708400" cy="620395"/>
            <wp:effectExtent l="0" t="0" r="0" b="0"/>
            <wp:docPr id="25"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4" descr="" title=""/>
                    <pic:cNvPicPr>
                      <a:picLocks noChangeAspect="1" noChangeArrowheads="1"/>
                    </pic:cNvPicPr>
                  </pic:nvPicPr>
                  <pic:blipFill>
                    <a:blip r:embed="rId3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 xml:space="preserve">Sellers adjust private variables such as shipping, availability, financial terms, warranty period, return policy, free gifts, and customer support policy.  The seller must also adjust for product variables such as manufacturer, product model, product options, price, and the solution bundle.  Each one of these variables changes with time.  Hence, the seller must be able to select an offer expiration for each business rules and be reminded when the time comes to update the parameters.  </w:t>
      </w:r>
    </w:p>
    <w:p>
      <w:pPr>
        <w:pStyle w:val="BodyText"/>
        <w:rPr>
          <w:b/>
          <w:bCs/>
          <w:sz w:val="28"/>
        </w:rPr>
      </w:pPr>
      <w:r>
        <w:rPr>
          <w:b/>
          <w:bCs/>
          <w:sz w:val="28"/>
        </w:rPr>
      </w:r>
    </w:p>
    <w:p>
      <w:pPr>
        <w:pStyle w:val="BodyText"/>
        <w:rPr/>
      </w:pPr>
      <w:r>
        <w:rPr/>
      </w:r>
    </w:p>
    <w:p>
      <w:pPr>
        <w:pStyle w:val="BodyText"/>
        <w:rPr>
          <w:b/>
          <w:bCs/>
          <w:sz w:val="28"/>
        </w:rPr>
      </w:pPr>
      <w:r>
        <w:rPr>
          <w:b/>
          <w:bCs/>
          <w:sz w:val="28"/>
        </w:rPr>
        <w:t>No e-Mail Communication Necessary</w:t>
      </w:r>
    </w:p>
    <w:p>
      <w:pPr>
        <w:pStyle w:val="BodyText"/>
        <w:rPr>
          <w:b/>
          <w:bCs/>
          <w:sz w:val="28"/>
        </w:rPr>
      </w:pPr>
      <w:r>
        <w:rPr>
          <w:b/>
          <w:bCs/>
          <w:sz w:val="28"/>
        </w:rPr>
      </w:r>
    </w:p>
    <w:p>
      <w:pPr>
        <w:pStyle w:val="BodyText"/>
        <w:rPr/>
      </w:pPr>
      <w:r>
        <w:rPr/>
        <w:drawing>
          <wp:inline distT="0" distB="0" distL="0" distR="0">
            <wp:extent cx="3708400" cy="666750"/>
            <wp:effectExtent l="0" t="0" r="0" b="0"/>
            <wp:docPr id="26"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descr="" title=""/>
                    <pic:cNvPicPr>
                      <a:picLocks noChangeAspect="1" noChangeArrowheads="1"/>
                    </pic:cNvPicPr>
                  </pic:nvPicPr>
                  <pic:blipFill>
                    <a:blip r:embed="rId35"/>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Sellers can be invited to join the supplier network either directly by a buyer (via the phone, e-mail, fax, etc.) or by a Perfect.com representative trying to muster market liquidity.  The registration, business rules, offer adjustments, and bidding processes do not require any e-mail communication.  The seller logs on directly onto the system’s Web site at PerfectRFQ.com.</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Bundling Feature</w:t>
      </w:r>
    </w:p>
    <w:p>
      <w:pPr>
        <w:pStyle w:val="BodyText"/>
        <w:rPr>
          <w:b/>
          <w:bCs/>
          <w:sz w:val="28"/>
        </w:rPr>
      </w:pPr>
      <w:r>
        <w:rPr>
          <w:b/>
          <w:bCs/>
          <w:sz w:val="28"/>
        </w:rPr>
      </w:r>
    </w:p>
    <w:p>
      <w:pPr>
        <w:pStyle w:val="BodyText"/>
        <w:rPr/>
      </w:pPr>
      <w:r>
        <w:rPr/>
        <w:drawing>
          <wp:inline distT="0" distB="0" distL="0" distR="0">
            <wp:extent cx="3708400" cy="620395"/>
            <wp:effectExtent l="0" t="0" r="0" b="0"/>
            <wp:docPr id="27"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6" descr="" title=""/>
                    <pic:cNvPicPr>
                      <a:picLocks noChangeAspect="1" noChangeArrowheads="1"/>
                    </pic:cNvPicPr>
                  </pic:nvPicPr>
                  <pic:blipFill>
                    <a:blip r:embed="rId3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Because the buyer can opt to submit a bill of materials where several products are at stake, the seller must be able to define the variables to accommodate either separate product offers or bundle offers depending on the buyer’s requirements.  Although this remains a complex undertaking, it is an important feature in the mapping of the procurement process. The system must be flexible enough to allow the assignment of a Value Score to a bundle of goods as well.</w:t>
      </w:r>
    </w:p>
    <w:p>
      <w:pPr>
        <w:pStyle w:val="BodyText"/>
        <w:rPr/>
      </w:pPr>
      <w:r>
        <w:rPr/>
      </w:r>
    </w:p>
    <w:p>
      <w:pPr>
        <w:pStyle w:val="BodyText"/>
        <w:rPr/>
      </w:pPr>
      <w:r>
        <w:rPr/>
      </w:r>
    </w:p>
    <w:p>
      <w:pPr>
        <w:pStyle w:val="BodyText"/>
        <w:rPr>
          <w:b/>
          <w:bCs/>
          <w:sz w:val="28"/>
        </w:rPr>
      </w:pPr>
      <w:r>
        <w:rPr>
          <w:b/>
          <w:bCs/>
          <w:sz w:val="28"/>
        </w:rPr>
        <w:t>Suggestion Box</w:t>
      </w:r>
    </w:p>
    <w:p>
      <w:pPr>
        <w:pStyle w:val="BodyText"/>
        <w:rPr>
          <w:b/>
          <w:bCs/>
          <w:sz w:val="28"/>
        </w:rPr>
      </w:pPr>
      <w:r>
        <w:rPr>
          <w:b/>
          <w:bCs/>
          <w:sz w:val="28"/>
        </w:rPr>
      </w:r>
    </w:p>
    <w:p>
      <w:pPr>
        <w:pStyle w:val="BodyText"/>
        <w:rPr/>
      </w:pPr>
      <w:r>
        <w:rPr/>
        <w:object w:dxaOrig="3841" w:dyaOrig="631">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292.1pt;height:48.05pt" filled="f" o:ole="">
            <v:imagedata r:id="rId38" o:title=""/>
          </v:shape>
          <o:OLEObject Type="Embed" ProgID="" ShapeID="ole_rId37" DrawAspect="Content" ObjectID="_716855051" r:id="rId37"/>
        </w:object>
      </w:r>
    </w:p>
    <w:p>
      <w:pPr>
        <w:pStyle w:val="BodyText"/>
        <w:rPr/>
      </w:pPr>
      <w:r>
        <w:rPr/>
      </w:r>
    </w:p>
    <w:p>
      <w:pPr>
        <w:pStyle w:val="BodyText"/>
        <w:rPr/>
      </w:pPr>
      <w:r>
        <w:rPr/>
        <w:t>Whether a seller just completed a transaction or participated in a bidding, a suggestion box should be offered to them as a PerfectRFQ.com product assessment.  By giving the participants a whiteboard to comment, our solution will become more robust and more tailored to the needs of its users.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Contract Bidding</w:t>
      </w:r>
    </w:p>
    <w:p>
      <w:pPr>
        <w:pStyle w:val="BodyText"/>
        <w:rPr>
          <w:b/>
          <w:bCs/>
          <w:sz w:val="28"/>
        </w:rPr>
      </w:pPr>
      <w:r>
        <w:rPr>
          <w:b/>
          <w:bCs/>
          <w:sz w:val="28"/>
        </w:rPr>
      </w:r>
    </w:p>
    <w:p>
      <w:pPr>
        <w:pStyle w:val="BodyText"/>
        <w:rPr/>
      </w:pPr>
      <w:r>
        <w:rPr/>
        <w:drawing>
          <wp:inline distT="0" distB="0" distL="0" distR="0">
            <wp:extent cx="3708400" cy="620395"/>
            <wp:effectExtent l="0" t="0" r="0" b="0"/>
            <wp:docPr id="28"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7" descr="" title=""/>
                    <pic:cNvPicPr>
                      <a:picLocks noChangeAspect="1" noChangeArrowheads="1"/>
                    </pic:cNvPicPr>
                  </pic:nvPicPr>
                  <pic:blipFill>
                    <a:blip r:embed="rId3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B2B procurement often involves contract bidding.  Therefore, the seller must be able to respond to a contract bid by defining offers that meet these requirements.  Such orders will appear in the My Account under open order and provide updated status with deliveries completed and orders to be delivered at what time and place, etc.</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International Suppliers are Welcomed</w:t>
      </w:r>
    </w:p>
    <w:p>
      <w:pPr>
        <w:pStyle w:val="BodyText"/>
        <w:rPr>
          <w:b/>
          <w:bCs/>
          <w:sz w:val="28"/>
        </w:rPr>
      </w:pPr>
      <w:r>
        <w:rPr>
          <w:b/>
          <w:bCs/>
          <w:sz w:val="28"/>
        </w:rPr>
      </w:r>
    </w:p>
    <w:p>
      <w:pPr>
        <w:pStyle w:val="BodyText"/>
        <w:rPr/>
      </w:pPr>
      <w:r>
        <w:rPr/>
        <w:drawing>
          <wp:inline distT="0" distB="0" distL="0" distR="0">
            <wp:extent cx="3708400" cy="620395"/>
            <wp:effectExtent l="0" t="0" r="0" b="0"/>
            <wp:docPr id="29"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8" descr="" title=""/>
                    <pic:cNvPicPr>
                      <a:picLocks noChangeAspect="1" noChangeArrowheads="1"/>
                    </pic:cNvPicPr>
                  </pic:nvPicPr>
                  <pic:blipFill>
                    <a:blip r:embed="rId4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When the buyer submits a RFQ to the system, there might be international suppliers that have joined the network and can meet the buyer’s requirements.  This could constitute special attributes of the deal such as transport, customs, taxes, currency options, etc.  The product may also be different from the RFQ requirements and may be classified as a substitute (varying product attributes need to be enumerated). It is preferred at the beginning to keep the pricing structure and the transaction fee in U.S. dollars.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Access to Reputation Rating</w:t>
      </w:r>
    </w:p>
    <w:p>
      <w:pPr>
        <w:pStyle w:val="BodyText"/>
        <w:rPr>
          <w:b/>
          <w:bCs/>
          <w:sz w:val="28"/>
        </w:rPr>
      </w:pPr>
      <w:r>
        <w:rPr>
          <w:b/>
          <w:bCs/>
          <w:sz w:val="28"/>
        </w:rPr>
      </w:r>
    </w:p>
    <w:p>
      <w:pPr>
        <w:pStyle w:val="BodyText"/>
        <w:rPr/>
      </w:pPr>
      <w:r>
        <w:rPr/>
        <w:drawing>
          <wp:inline distT="0" distB="0" distL="0" distR="0">
            <wp:extent cx="3708400" cy="666750"/>
            <wp:effectExtent l="0" t="0" r="0" b="0"/>
            <wp:docPr id="30"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 descr="" title=""/>
                    <pic:cNvPicPr>
                      <a:picLocks noChangeAspect="1" noChangeArrowheads="1"/>
                    </pic:cNvPicPr>
                  </pic:nvPicPr>
                  <pic:blipFill>
                    <a:blip r:embed="rId41"/>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Sellers should be allowed to view their reputation ratings so they know how buyers perceive them and can make adjustments in their business practices wherever needed.</w:t>
      </w:r>
    </w:p>
    <w:p>
      <w:pPr>
        <w:pStyle w:val="BodyText"/>
        <w:rPr/>
      </w:pPr>
      <w:r>
        <w:rPr/>
      </w:r>
    </w:p>
    <w:p>
      <w:pPr>
        <w:pStyle w:val="BodyText"/>
        <w:rPr/>
      </w:pPr>
      <w:r>
        <w:rPr/>
      </w:r>
    </w:p>
    <w:p>
      <w:pPr>
        <w:pStyle w:val="BodyText"/>
        <w:rPr>
          <w:b/>
          <w:bCs/>
          <w:sz w:val="28"/>
        </w:rPr>
      </w:pPr>
      <w:r>
        <w:rPr>
          <w:b/>
          <w:bCs/>
          <w:sz w:val="28"/>
        </w:rPr>
        <w:t>Wireless Access</w:t>
      </w:r>
    </w:p>
    <w:p>
      <w:pPr>
        <w:pStyle w:val="BodyText"/>
        <w:rPr>
          <w:b/>
          <w:bCs/>
          <w:sz w:val="28"/>
        </w:rPr>
      </w:pPr>
      <w:r>
        <w:rPr>
          <w:b/>
          <w:bCs/>
          <w:sz w:val="28"/>
        </w:rPr>
      </w:r>
    </w:p>
    <w:p>
      <w:pPr>
        <w:pStyle w:val="BodyText"/>
        <w:rPr/>
      </w:pPr>
      <w:r>
        <w:rPr/>
        <w:object w:dxaOrig="3841" w:dyaOrig="631">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292.1pt;height:48.05pt" filled="f" o:ole="">
            <v:imagedata r:id="rId43" o:title=""/>
          </v:shape>
          <o:OLEObject Type="Embed" ProgID="" ShapeID="ole_rId42" DrawAspect="Content" ObjectID="_634011829" r:id="rId42"/>
        </w:object>
      </w:r>
    </w:p>
    <w:p>
      <w:pPr>
        <w:pStyle w:val="BodyText"/>
        <w:rPr/>
      </w:pPr>
      <w:r>
        <w:rPr/>
      </w:r>
    </w:p>
    <w:p>
      <w:pPr>
        <w:pStyle w:val="BodyText"/>
        <w:rPr/>
      </w:pPr>
      <w:r>
        <w:rPr/>
        <w:t>Sellers will eventually ask to update their offers via wireless units such as data phones, Personal Digital Assistants (PDAs), etc.  Although it is imperative that the communication channel utilized between the PerfectRFQ.com server and the seller be secure, more thought needs to be given for the fact that seller do require access outside the office.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Downloadable Information</w:t>
      </w:r>
    </w:p>
    <w:p>
      <w:pPr>
        <w:pStyle w:val="BodyText"/>
        <w:rPr>
          <w:b/>
          <w:bCs/>
          <w:sz w:val="28"/>
        </w:rPr>
      </w:pPr>
      <w:r>
        <w:rPr>
          <w:b/>
          <w:bCs/>
          <w:sz w:val="28"/>
        </w:rPr>
      </w:r>
    </w:p>
    <w:p>
      <w:pPr>
        <w:pStyle w:val="BodyText"/>
        <w:rPr/>
      </w:pPr>
      <w:r>
        <w:rPr/>
        <w:drawing>
          <wp:inline distT="0" distB="0" distL="0" distR="0">
            <wp:extent cx="3708400" cy="620395"/>
            <wp:effectExtent l="0" t="0" r="0" b="0"/>
            <wp:docPr id="31"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0" descr="" title=""/>
                    <pic:cNvPicPr>
                      <a:picLocks noChangeAspect="1" noChangeArrowheads="1"/>
                    </pic:cNvPicPr>
                  </pic:nvPicPr>
                  <pic:blipFill>
                    <a:blip r:embed="rId4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important in the design of the interface to keep in mind that because there exists no real back-end integration components, seller requires that the information provided in the “My Account” be downloadable to a desktop and can be printed for audit purposes.  This pertains to files such as deal attributes and the buyer profiles.</w:t>
      </w:r>
    </w:p>
    <w:p>
      <w:pPr>
        <w:pStyle w:val="BodyText"/>
        <w:rPr/>
      </w:pPr>
      <w:r>
        <w:rPr/>
      </w:r>
    </w:p>
    <w:p>
      <w:pPr>
        <w:pStyle w:val="BodyText"/>
        <w:rPr/>
      </w:pPr>
      <w:r>
        <w:rPr/>
      </w:r>
    </w:p>
    <w:p>
      <w:pPr>
        <w:pStyle w:val="BodyText"/>
        <w:rPr>
          <w:b/>
          <w:bCs/>
          <w:sz w:val="28"/>
        </w:rPr>
      </w:pPr>
      <w:r>
        <w:rPr>
          <w:b/>
          <w:bCs/>
          <w:sz w:val="28"/>
        </w:rPr>
        <w:t>Taxes</w:t>
      </w:r>
    </w:p>
    <w:p>
      <w:pPr>
        <w:pStyle w:val="BodyText"/>
        <w:rPr>
          <w:b/>
          <w:bCs/>
          <w:sz w:val="28"/>
        </w:rPr>
      </w:pPr>
      <w:r>
        <w:rPr>
          <w:b/>
          <w:bCs/>
          <w:sz w:val="28"/>
        </w:rPr>
      </w:r>
    </w:p>
    <w:p>
      <w:pPr>
        <w:pStyle w:val="BodyText"/>
        <w:rPr/>
      </w:pPr>
      <w:r>
        <w:rPr/>
        <w:drawing>
          <wp:inline distT="0" distB="0" distL="0" distR="0">
            <wp:extent cx="3708400" cy="620395"/>
            <wp:effectExtent l="0" t="0" r="0" b="0"/>
            <wp:docPr id="32"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 descr="" title=""/>
                    <pic:cNvPicPr>
                      <a:picLocks noChangeAspect="1" noChangeArrowheads="1"/>
                    </pic:cNvPicPr>
                  </pic:nvPicPr>
                  <pic:blipFill>
                    <a:blip r:embed="rId4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seller must be able to calculate the appropriate taxes for the goods and services he or she intends to deliver on.  Licensing the TaxWare software can do this.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Business Rules Console</w:t>
      </w:r>
    </w:p>
    <w:p>
      <w:pPr>
        <w:pStyle w:val="BodyText"/>
        <w:rPr>
          <w:b/>
          <w:bCs/>
          <w:sz w:val="28"/>
        </w:rPr>
      </w:pPr>
      <w:r>
        <w:rPr>
          <w:b/>
          <w:bCs/>
          <w:sz w:val="28"/>
        </w:rPr>
      </w:r>
    </w:p>
    <w:p>
      <w:pPr>
        <w:pStyle w:val="BodyText"/>
        <w:rPr/>
      </w:pPr>
      <w:r>
        <w:rPr/>
        <w:drawing>
          <wp:inline distT="0" distB="0" distL="0" distR="0">
            <wp:extent cx="3708400" cy="620395"/>
            <wp:effectExtent l="0" t="0" r="0" b="0"/>
            <wp:docPr id="33"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2" descr="" title=""/>
                    <pic:cNvPicPr>
                      <a:picLocks noChangeAspect="1" noChangeArrowheads="1"/>
                    </pic:cNvPicPr>
                  </pic:nvPicPr>
                  <pic:blipFill>
                    <a:blip r:embed="rId4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As the business rules get more complex both in terms of sheer number and variance, a Business Rules console (similar to the C2B product) is needed to manage effectively all parameters.  The seller will crave for an organization mechanism to allow him or her to navigate to any given business rule.  It needs to show the pending rules and the rules in effect, and which one will expire at any given date.  A mechanism such as rule conflict catcher will be useful to catch any discrepancies between the portfolio of rules.  Alarms can be triggered to flag significant changes in the marketplace or the competitors’ rules.</w:t>
      </w:r>
    </w:p>
    <w:p>
      <w:pPr>
        <w:pStyle w:val="BodyText"/>
        <w:rPr/>
      </w:pPr>
      <w:r>
        <w:rPr/>
      </w:r>
    </w:p>
    <w:p>
      <w:pPr>
        <w:pStyle w:val="BodyText"/>
        <w:rPr/>
      </w:pPr>
      <w:r>
        <w:rPr/>
      </w:r>
    </w:p>
    <w:p>
      <w:pPr>
        <w:pStyle w:val="BodyText"/>
        <w:rPr>
          <w:b/>
          <w:bCs/>
          <w:sz w:val="28"/>
        </w:rPr>
      </w:pPr>
      <w:r>
        <w:rPr>
          <w:b/>
          <w:bCs/>
          <w:sz w:val="28"/>
        </w:rPr>
        <w:t>Status Tracking</w:t>
      </w:r>
    </w:p>
    <w:p>
      <w:pPr>
        <w:pStyle w:val="BodyText"/>
        <w:rPr>
          <w:b/>
          <w:bCs/>
          <w:sz w:val="28"/>
        </w:rPr>
      </w:pPr>
      <w:r>
        <w:rPr>
          <w:b/>
          <w:bCs/>
          <w:sz w:val="28"/>
        </w:rPr>
      </w:r>
    </w:p>
    <w:p>
      <w:pPr>
        <w:pStyle w:val="BodyText"/>
        <w:rPr/>
      </w:pPr>
      <w:r>
        <w:rPr/>
        <w:drawing>
          <wp:inline distT="0" distB="0" distL="0" distR="0">
            <wp:extent cx="3708400" cy="620395"/>
            <wp:effectExtent l="0" t="0" r="0" b="0"/>
            <wp:docPr id="34"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3" descr="" title=""/>
                    <pic:cNvPicPr>
                      <a:picLocks noChangeAspect="1" noChangeArrowheads="1"/>
                    </pic:cNvPicPr>
                  </pic:nvPicPr>
                  <pic:blipFill>
                    <a:blip r:embed="rId4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When the sale has been awarded, the seller must update the system via the PerfectRFQ.com Web site.  Confirmation of RFQ requirements, delivery intent, payment selection, and shipping selection are essential elements to the order management system and give the buyer reassurance.</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Shipment Tracking</w:t>
      </w:r>
    </w:p>
    <w:p>
      <w:pPr>
        <w:pStyle w:val="BodyText"/>
        <w:rPr>
          <w:b/>
          <w:bCs/>
          <w:sz w:val="28"/>
        </w:rPr>
      </w:pPr>
      <w:r>
        <w:rPr>
          <w:b/>
          <w:bCs/>
          <w:sz w:val="28"/>
        </w:rPr>
      </w:r>
    </w:p>
    <w:p>
      <w:pPr>
        <w:pStyle w:val="BodyText"/>
        <w:rPr/>
      </w:pPr>
      <w:r>
        <w:rPr/>
        <w:drawing>
          <wp:inline distT="0" distB="0" distL="0" distR="0">
            <wp:extent cx="3708400" cy="620395"/>
            <wp:effectExtent l="0" t="0" r="0" b="0"/>
            <wp:docPr id="35"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4" descr="" title=""/>
                    <pic:cNvPicPr>
                      <a:picLocks noChangeAspect="1" noChangeArrowheads="1"/>
                    </pic:cNvPicPr>
                  </pic:nvPicPr>
                  <pic:blipFill>
                    <a:blip r:embed="rId4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imperative for sellers to input shipment tracking information (i.e. tracking number, shipping company, expected arrival date, destination, etc.).  The seller can update the open RFQ via the PerfectRFQ.com Web site.  The status of goods shipped can be checked using TanData’s and UPS’ integrated package tracking service.</w:t>
      </w:r>
    </w:p>
    <w:p>
      <w:pPr>
        <w:pStyle w:val="BodyText"/>
        <w:rPr/>
      </w:pPr>
      <w:r>
        <w:rPr/>
      </w:r>
    </w:p>
    <w:p>
      <w:pPr>
        <w:pStyle w:val="BodyText"/>
        <w:rPr>
          <w:b/>
          <w:bCs/>
          <w:sz w:val="28"/>
        </w:rPr>
      </w:pPr>
      <w:r>
        <w:rPr>
          <w:b/>
          <w:bCs/>
          <w:sz w:val="28"/>
        </w:rPr>
      </w:r>
    </w:p>
    <w:p>
      <w:pPr>
        <w:pStyle w:val="BodyText"/>
        <w:rPr>
          <w:b/>
          <w:bCs/>
          <w:sz w:val="28"/>
        </w:rPr>
      </w:pPr>
      <w:r>
        <w:rPr>
          <w:b/>
          <w:bCs/>
          <w:sz w:val="28"/>
        </w:rPr>
        <w:t>Payment Tracking</w:t>
      </w:r>
    </w:p>
    <w:p>
      <w:pPr>
        <w:pStyle w:val="BodyText"/>
        <w:rPr>
          <w:b/>
          <w:bCs/>
          <w:sz w:val="28"/>
        </w:rPr>
      </w:pPr>
      <w:r>
        <w:rPr>
          <w:b/>
          <w:bCs/>
          <w:sz w:val="28"/>
        </w:rPr>
      </w:r>
    </w:p>
    <w:p>
      <w:pPr>
        <w:pStyle w:val="BodyText"/>
        <w:rPr/>
      </w:pPr>
      <w:r>
        <w:rPr/>
        <w:drawing>
          <wp:inline distT="0" distB="0" distL="0" distR="0">
            <wp:extent cx="3708400" cy="620395"/>
            <wp:effectExtent l="0" t="0" r="0" b="0"/>
            <wp:docPr id="36"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5" descr="" title=""/>
                    <pic:cNvPicPr>
                      <a:picLocks noChangeAspect="1" noChangeArrowheads="1"/>
                    </pic:cNvPicPr>
                  </pic:nvPicPr>
                  <pic:blipFill>
                    <a:blip r:embed="rId4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Because there is no real back-end integration to financial systems, the seller must update the system to close an opened RFQ.  The system allows for payment and reconciliation through a third-party such as OrderTrust.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Binding Contract</w:t>
      </w:r>
    </w:p>
    <w:p>
      <w:pPr>
        <w:pStyle w:val="BodyText"/>
        <w:rPr>
          <w:b/>
          <w:bCs/>
          <w:sz w:val="28"/>
        </w:rPr>
      </w:pPr>
      <w:r>
        <w:rPr>
          <w:b/>
          <w:bCs/>
          <w:sz w:val="28"/>
        </w:rPr>
      </w:r>
    </w:p>
    <w:p>
      <w:pPr>
        <w:pStyle w:val="BodyText"/>
        <w:rPr/>
      </w:pPr>
      <w:r>
        <w:rPr/>
        <w:drawing>
          <wp:inline distT="0" distB="0" distL="0" distR="0">
            <wp:extent cx="3708400" cy="620395"/>
            <wp:effectExtent l="0" t="0" r="0" b="0"/>
            <wp:docPr id="37"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6" descr="" title=""/>
                    <pic:cNvPicPr>
                      <a:picLocks noChangeAspect="1" noChangeArrowheads="1"/>
                    </pic:cNvPicPr>
                  </pic:nvPicPr>
                  <pic:blipFill>
                    <a:blip r:embed="rId5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Once the deal has been awarded, the seller wants assurance that he has entered into a binding contract and that once the product is packaged and shipped, the buyer will not refute.  A short narrative must be available for the seller to consult and ascertain the accountability of both parties – this can be inserted into the FAQ section.</w:t>
      </w:r>
    </w:p>
    <w:p>
      <w:pPr>
        <w:pStyle w:val="BodyText"/>
        <w:rPr/>
      </w:pPr>
      <w:r>
        <w:rPr/>
      </w:r>
    </w:p>
    <w:p>
      <w:pPr>
        <w:pStyle w:val="BodyText"/>
        <w:rPr/>
      </w:pPr>
      <w:r>
        <w:rPr/>
      </w:r>
    </w:p>
    <w:p>
      <w:pPr>
        <w:pStyle w:val="BodyText"/>
        <w:rPr>
          <w:b/>
          <w:bCs/>
          <w:sz w:val="28"/>
        </w:rPr>
      </w:pPr>
      <w:r>
        <w:rPr>
          <w:b/>
          <w:bCs/>
          <w:sz w:val="28"/>
        </w:rPr>
        <w:t>Market Rules</w:t>
      </w:r>
    </w:p>
    <w:p>
      <w:pPr>
        <w:pStyle w:val="BodyText"/>
        <w:rPr/>
      </w:pPr>
      <w:r>
        <w:rPr/>
      </w:r>
    </w:p>
    <w:p>
      <w:pPr>
        <w:pStyle w:val="BodyText"/>
        <w:rPr/>
      </w:pPr>
      <w:r>
        <w:rPr/>
        <w:drawing>
          <wp:inline distT="0" distB="0" distL="0" distR="0">
            <wp:extent cx="3708400" cy="666750"/>
            <wp:effectExtent l="0" t="0" r="0" b="0"/>
            <wp:docPr id="38"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7" descr="" title=""/>
                    <pic:cNvPicPr>
                      <a:picLocks noChangeAspect="1" noChangeArrowheads="1"/>
                    </pic:cNvPicPr>
                  </pic:nvPicPr>
                  <pic:blipFill>
                    <a:blip r:embed="rId51"/>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Sellers want to know what are the market rules that guide the reverse auction.  Without revealing the proprietary and trade secrets of the RFQ engine, some thought must be given to reassure sellers on how to present the basic market parameters of the auction such as: timing and repetition, bidding rules, clearing rules, permissions, information disclosure, and market flow.  This could also be a section of the FAQ.</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Publish Catalogues</w:t>
      </w:r>
    </w:p>
    <w:p>
      <w:pPr>
        <w:pStyle w:val="BodyText"/>
        <w:rPr>
          <w:b/>
          <w:bCs/>
          <w:sz w:val="28"/>
        </w:rPr>
      </w:pPr>
      <w:r>
        <w:rPr>
          <w:b/>
          <w:bCs/>
          <w:sz w:val="28"/>
        </w:rPr>
      </w:r>
    </w:p>
    <w:p>
      <w:pPr>
        <w:pStyle w:val="BodyText"/>
        <w:rPr/>
      </w:pPr>
      <w:r>
        <w:rPr/>
        <w:drawing>
          <wp:inline distT="0" distB="0" distL="0" distR="0">
            <wp:extent cx="3708400" cy="666750"/>
            <wp:effectExtent l="0" t="0" r="0" b="0"/>
            <wp:docPr id="39"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8" descr="" title=""/>
                    <pic:cNvPicPr>
                      <a:picLocks noChangeAspect="1" noChangeArrowheads="1"/>
                    </pic:cNvPicPr>
                  </pic:nvPicPr>
                  <pic:blipFill>
                    <a:blip r:embed="rId52"/>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Registered suppliers want to use the system to publish their catalogues so that buyers can utilize them via a syndication model (ICE).  This tool enables them the opportunity to up-sell products and services otherwise not on the radar screen of buyers.</w:t>
      </w:r>
    </w:p>
    <w:p>
      <w:pPr>
        <w:pStyle w:val="BodyText"/>
        <w:rPr/>
      </w:pPr>
      <w:r>
        <w:rPr/>
      </w:r>
    </w:p>
    <w:p>
      <w:pPr>
        <w:pStyle w:val="BodyText"/>
        <w:rPr>
          <w:b/>
          <w:bCs/>
          <w:sz w:val="28"/>
        </w:rPr>
      </w:pPr>
      <w:r>
        <w:rPr>
          <w:b/>
          <w:bCs/>
          <w:sz w:val="28"/>
        </w:rPr>
      </w:r>
    </w:p>
    <w:p>
      <w:pPr>
        <w:pStyle w:val="BodyText"/>
        <w:rPr>
          <w:b/>
          <w:bCs/>
          <w:sz w:val="28"/>
        </w:rPr>
      </w:pPr>
      <w:r>
        <w:rPr>
          <w:b/>
          <w:bCs/>
          <w:sz w:val="28"/>
        </w:rPr>
        <w:t>Secure Environment</w:t>
      </w:r>
    </w:p>
    <w:p>
      <w:pPr>
        <w:pStyle w:val="BodyText"/>
        <w:rPr>
          <w:b/>
          <w:bCs/>
          <w:sz w:val="28"/>
        </w:rPr>
      </w:pPr>
      <w:r>
        <w:rPr>
          <w:b/>
          <w:bCs/>
          <w:sz w:val="28"/>
        </w:rPr>
      </w:r>
    </w:p>
    <w:p>
      <w:pPr>
        <w:pStyle w:val="BodyText"/>
        <w:rPr/>
      </w:pPr>
      <w:r>
        <w:rPr/>
        <w:drawing>
          <wp:inline distT="0" distB="0" distL="0" distR="0">
            <wp:extent cx="3708400" cy="620395"/>
            <wp:effectExtent l="0" t="0" r="0" b="0"/>
            <wp:docPr id="40"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9" descr="" title=""/>
                    <pic:cNvPicPr>
                      <a:picLocks noChangeAspect="1" noChangeArrowheads="1"/>
                    </pic:cNvPicPr>
                  </pic:nvPicPr>
                  <pic:blipFill>
                    <a:blip r:embed="rId5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goes without saying that any site that filters e-commerce transactions must be totally secure so that hackers cannot access proprietary company information and payment mechanisms.</w:t>
      </w:r>
    </w:p>
    <w:p>
      <w:pPr>
        <w:pStyle w:val="BodyText"/>
        <w:rPr/>
      </w:pPr>
      <w:r>
        <w:rPr/>
      </w:r>
    </w:p>
    <w:p>
      <w:pPr>
        <w:pStyle w:val="BodyText"/>
        <w:rPr/>
      </w:pPr>
      <w:r>
        <w:rPr/>
      </w:r>
    </w:p>
    <w:p>
      <w:pPr>
        <w:pStyle w:val="BodyText"/>
        <w:rPr>
          <w:b/>
          <w:bCs/>
          <w:sz w:val="28"/>
        </w:rPr>
      </w:pPr>
      <w:r>
        <w:rPr>
          <w:b/>
          <w:bCs/>
          <w:sz w:val="28"/>
        </w:rPr>
        <w:t>Cross-Sell Opportunities</w:t>
      </w:r>
    </w:p>
    <w:p>
      <w:pPr>
        <w:pStyle w:val="BodyText"/>
        <w:rPr>
          <w:b/>
          <w:bCs/>
          <w:sz w:val="28"/>
        </w:rPr>
      </w:pPr>
      <w:r>
        <w:rPr>
          <w:b/>
          <w:bCs/>
          <w:sz w:val="28"/>
        </w:rPr>
      </w:r>
    </w:p>
    <w:p>
      <w:pPr>
        <w:pStyle w:val="BodyText"/>
        <w:rPr/>
      </w:pPr>
      <w:r>
        <w:rPr/>
        <w:drawing>
          <wp:inline distT="0" distB="0" distL="0" distR="0">
            <wp:extent cx="3708400" cy="620395"/>
            <wp:effectExtent l="0" t="0" r="0" b="0"/>
            <wp:docPr id="41"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0" descr="" title=""/>
                    <pic:cNvPicPr>
                      <a:picLocks noChangeAspect="1" noChangeArrowheads="1"/>
                    </pic:cNvPicPr>
                  </pic:nvPicPr>
                  <pic:blipFill>
                    <a:blip r:embed="rId5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bid winner is given the opportunity to offer “cross-sell” products and services to the buyer.</w:t>
      </w:r>
    </w:p>
    <w:p>
      <w:pPr>
        <w:pStyle w:val="BodyText"/>
        <w:rPr>
          <w:b/>
          <w:bCs/>
          <w:sz w:val="28"/>
        </w:rPr>
      </w:pPr>
      <w:r>
        <w:rPr>
          <w:b/>
          <w:bCs/>
          <w:sz w:val="28"/>
        </w:rPr>
        <w:t>Option to Participate</w:t>
      </w:r>
    </w:p>
    <w:p>
      <w:pPr>
        <w:pStyle w:val="BodyText"/>
        <w:rPr>
          <w:b/>
          <w:bCs/>
          <w:sz w:val="28"/>
        </w:rPr>
      </w:pPr>
      <w:r>
        <w:rPr>
          <w:b/>
          <w:bCs/>
          <w:sz w:val="28"/>
        </w:rPr>
      </w:r>
    </w:p>
    <w:p>
      <w:pPr>
        <w:pStyle w:val="BodyText"/>
        <w:rPr/>
      </w:pPr>
      <w:r>
        <w:rPr/>
        <w:drawing>
          <wp:inline distT="0" distB="0" distL="0" distR="0">
            <wp:extent cx="3708400" cy="620395"/>
            <wp:effectExtent l="0" t="0" r="0" b="0"/>
            <wp:docPr id="42"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 descr="" title=""/>
                    <pic:cNvPicPr>
                      <a:picLocks noChangeAspect="1" noChangeArrowheads="1"/>
                    </pic:cNvPicPr>
                  </pic:nvPicPr>
                  <pic:blipFill>
                    <a:blip r:embed="rId5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Sellers want the option to select the RFQs they wish to respond to.  Hence, the mechanism must allow them the courtesy to bid on the business they think they have a reasonable chance to win.</w:t>
      </w:r>
    </w:p>
    <w:p>
      <w:pPr>
        <w:pStyle w:val="BodyText"/>
        <w:rPr/>
      </w:pPr>
      <w:r>
        <w:rPr/>
      </w:r>
    </w:p>
    <w:p>
      <w:pPr>
        <w:pStyle w:val="BodyText"/>
        <w:rPr/>
      </w:pPr>
      <w:r>
        <w:rPr/>
      </w:r>
    </w:p>
    <w:p>
      <w:pPr>
        <w:pStyle w:val="BodyText"/>
        <w:rPr>
          <w:b/>
          <w:bCs/>
          <w:sz w:val="28"/>
        </w:rPr>
      </w:pPr>
      <w:r>
        <w:rPr>
          <w:b/>
          <w:bCs/>
          <w:sz w:val="28"/>
        </w:rPr>
        <w:t>Proxy Bidding Feature</w:t>
      </w:r>
    </w:p>
    <w:p>
      <w:pPr>
        <w:pStyle w:val="BodyText"/>
        <w:rPr>
          <w:b/>
          <w:bCs/>
          <w:sz w:val="28"/>
        </w:rPr>
      </w:pPr>
      <w:r>
        <w:rPr>
          <w:b/>
          <w:bCs/>
          <w:sz w:val="28"/>
        </w:rPr>
      </w:r>
    </w:p>
    <w:p>
      <w:pPr>
        <w:pStyle w:val="BodyText"/>
        <w:rPr/>
      </w:pPr>
      <w:r>
        <w:rPr/>
        <w:drawing>
          <wp:inline distT="0" distB="0" distL="0" distR="0">
            <wp:extent cx="3708400" cy="620395"/>
            <wp:effectExtent l="0" t="0" r="0" b="0"/>
            <wp:docPr id="43"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2" descr="" title=""/>
                    <pic:cNvPicPr>
                      <a:picLocks noChangeAspect="1" noChangeArrowheads="1"/>
                    </pic:cNvPicPr>
                  </pic:nvPicPr>
                  <pic:blipFill>
                    <a:blip r:embed="rId5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Sellers need to be able to adjust their business rules so that each rule contains a maximum limit that they are willing to adhere to.</w:t>
      </w:r>
      <w:r>
        <w:br w:type="page"/>
      </w:r>
    </w:p>
    <w:p>
      <w:pPr>
        <w:pStyle w:val="BodyText"/>
        <w:rPr>
          <w:b/>
          <w:bCs/>
          <w:sz w:val="36"/>
        </w:rPr>
      </w:pPr>
      <w:r>
        <w:rPr>
          <w:b/>
          <w:bCs/>
          <w:sz w:val="36"/>
        </w:rPr>
        <w:t>MARKET REQUIREMENTS FOR THE BUYER</w:t>
      </w:r>
    </w:p>
    <w:p>
      <w:pPr>
        <w:pStyle w:val="BodyText"/>
        <w:spacing w:lineRule="auto" w:line="240"/>
        <w:rPr>
          <w:sz w:val="36"/>
        </w:rPr>
      </w:pPr>
      <w:r>
        <w:rPr>
          <w:sz w:val="36"/>
        </w:rPr>
        <w:t>___________________________________________</w:t>
      </w:r>
    </w:p>
    <w:p>
      <w:pPr>
        <w:pStyle w:val="BodyText"/>
        <w:rPr>
          <w:b/>
          <w:bCs/>
          <w:sz w:val="36"/>
        </w:rPr>
      </w:pPr>
      <w:r>
        <w:rPr>
          <w:b/>
          <w:bCs/>
          <w:sz w:val="36"/>
        </w:rPr>
      </w:r>
    </w:p>
    <w:p>
      <w:pPr>
        <w:pStyle w:val="BodyText"/>
        <w:rPr>
          <w:i/>
          <w:i/>
          <w:iCs/>
        </w:rPr>
      </w:pPr>
      <w:r>
        <w:rPr>
          <w:i/>
          <w:iCs/>
        </w:rPr>
        <w:t>Please refer to the introduction of the previous section.</w:t>
      </w:r>
    </w:p>
    <w:p>
      <w:pPr>
        <w:pStyle w:val="BodyText"/>
        <w:rPr>
          <w:i/>
          <w:i/>
          <w:iCs/>
          <w:sz w:val="28"/>
        </w:rPr>
      </w:pPr>
      <w:r>
        <w:rPr>
          <w:i/>
          <w:iCs/>
          <w:sz w:val="28"/>
        </w:rPr>
      </w:r>
    </w:p>
    <w:p>
      <w:pPr>
        <w:pStyle w:val="BodyText"/>
        <w:rPr>
          <w:b/>
          <w:bCs/>
          <w:sz w:val="28"/>
        </w:rPr>
      </w:pPr>
      <w:r>
        <w:rPr>
          <w:b/>
          <w:bCs/>
          <w:sz w:val="28"/>
        </w:rPr>
        <w:t>Demonstrate Thoroughness of Process</w:t>
      </w:r>
    </w:p>
    <w:p>
      <w:pPr>
        <w:pStyle w:val="BodyText"/>
        <w:rPr>
          <w:b/>
          <w:bCs/>
          <w:sz w:val="28"/>
        </w:rPr>
      </w:pPr>
      <w:r>
        <w:rPr>
          <w:b/>
          <w:bCs/>
          <w:sz w:val="28"/>
        </w:rPr>
      </w:r>
    </w:p>
    <w:p>
      <w:pPr>
        <w:pStyle w:val="BodyText"/>
        <w:rPr/>
      </w:pPr>
      <w:r>
        <w:rPr/>
        <w:drawing>
          <wp:inline distT="0" distB="0" distL="0" distR="0">
            <wp:extent cx="3708400" cy="666750"/>
            <wp:effectExtent l="0" t="0" r="0" b="0"/>
            <wp:docPr id="44"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3" descr="" title=""/>
                    <pic:cNvPicPr>
                      <a:picLocks noChangeAspect="1" noChangeArrowheads="1"/>
                    </pic:cNvPicPr>
                  </pic:nvPicPr>
                  <pic:blipFill>
                    <a:blip r:embed="rId57"/>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 xml:space="preserve">Buyers are concerned that their online experience may not result in a thorough analysis of the available products and suppliers.  The system must demonstrate the number of available suppliers in the Vertical Expert System.  </w:t>
      </w:r>
    </w:p>
    <w:p>
      <w:pPr>
        <w:pStyle w:val="BodyText"/>
        <w:rPr/>
      </w:pPr>
      <w:r>
        <w:rPr/>
      </w:r>
    </w:p>
    <w:p>
      <w:pPr>
        <w:pStyle w:val="BodyText"/>
        <w:rPr/>
      </w:pPr>
      <w:r>
        <w:rPr/>
      </w:r>
    </w:p>
    <w:p>
      <w:pPr>
        <w:pStyle w:val="BodyText"/>
        <w:rPr>
          <w:b/>
          <w:bCs/>
          <w:sz w:val="28"/>
        </w:rPr>
      </w:pPr>
      <w:r>
        <w:rPr>
          <w:b/>
          <w:bCs/>
          <w:sz w:val="28"/>
        </w:rPr>
        <w:t>Visual Indication of Competition</w:t>
      </w:r>
    </w:p>
    <w:p>
      <w:pPr>
        <w:pStyle w:val="BodyText"/>
        <w:rPr>
          <w:b/>
          <w:bCs/>
          <w:sz w:val="28"/>
        </w:rPr>
      </w:pPr>
      <w:r>
        <w:rPr>
          <w:b/>
          <w:bCs/>
          <w:sz w:val="28"/>
        </w:rPr>
      </w:r>
    </w:p>
    <w:p>
      <w:pPr>
        <w:pStyle w:val="BodyText"/>
        <w:rPr/>
      </w:pPr>
      <w:r>
        <w:rPr/>
        <w:drawing>
          <wp:inline distT="0" distB="0" distL="0" distR="0">
            <wp:extent cx="3708400" cy="666750"/>
            <wp:effectExtent l="0" t="0" r="0" b="0"/>
            <wp:docPr id="45"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4" descr="" title=""/>
                    <pic:cNvPicPr>
                      <a:picLocks noChangeAspect="1" noChangeArrowheads="1"/>
                    </pic:cNvPicPr>
                  </pic:nvPicPr>
                  <pic:blipFill>
                    <a:blip r:embed="rId58"/>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When the system is matching requirements with business rules, a clear visual representation may be helpful to demonstrate that the suppliers are competing against one another.</w:t>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pPr>
      <w:r>
        <w:rPr/>
      </w:r>
    </w:p>
    <w:p>
      <w:pPr>
        <w:pStyle w:val="BodyText"/>
        <w:rPr>
          <w:b/>
          <w:bCs/>
          <w:sz w:val="28"/>
        </w:rPr>
      </w:pPr>
      <w:r>
        <w:rPr>
          <w:b/>
          <w:bCs/>
          <w:sz w:val="28"/>
        </w:rPr>
        <w:t>Privacy Policy</w:t>
      </w:r>
    </w:p>
    <w:p>
      <w:pPr>
        <w:pStyle w:val="BodyText"/>
        <w:rPr>
          <w:b/>
          <w:bCs/>
          <w:sz w:val="28"/>
        </w:rPr>
      </w:pPr>
      <w:r>
        <w:rPr>
          <w:b/>
          <w:bCs/>
          <w:sz w:val="28"/>
        </w:rPr>
      </w:r>
    </w:p>
    <w:p>
      <w:pPr>
        <w:pStyle w:val="BodyText"/>
        <w:rPr/>
      </w:pPr>
      <w:r>
        <w:rPr/>
        <w:drawing>
          <wp:inline distT="0" distB="0" distL="0" distR="0">
            <wp:extent cx="3708400" cy="620395"/>
            <wp:effectExtent l="0" t="0" r="0" b="0"/>
            <wp:docPr id="46"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5" descr="" title=""/>
                    <pic:cNvPicPr>
                      <a:picLocks noChangeAspect="1" noChangeArrowheads="1"/>
                    </pic:cNvPicPr>
                  </pic:nvPicPr>
                  <pic:blipFill>
                    <a:blip r:embed="rId5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imperative that every buyer that registered be asked to read the privacy policy.  The policy should also be made available in the home page tool bar.  The policy should describe the kind of information collected from the buyer; how demographic data will be used by the Company; guarantees on how information will not be used; the benefits a buyer can expect as a result of market intelligence; the buyer options to restrict certain piece of information; how a buyer can update demographic information; the name of the person responsible for enforcing the privacy policy; and the Company’s liability for damages incurred through the collection and use of the customer data.</w:t>
      </w:r>
    </w:p>
    <w:p>
      <w:pPr>
        <w:pStyle w:val="BodyText"/>
        <w:rPr/>
      </w:pPr>
      <w:r>
        <w:rPr/>
      </w:r>
    </w:p>
    <w:p>
      <w:pPr>
        <w:pStyle w:val="BodyText"/>
        <w:rPr/>
      </w:pPr>
      <w:r>
        <w:rPr/>
      </w:r>
    </w:p>
    <w:p>
      <w:pPr>
        <w:pStyle w:val="BodyText"/>
        <w:rPr>
          <w:b/>
          <w:bCs/>
          <w:sz w:val="28"/>
        </w:rPr>
      </w:pPr>
      <w:r>
        <w:rPr>
          <w:b/>
          <w:bCs/>
          <w:sz w:val="28"/>
        </w:rPr>
        <w:t>Secure Environment</w:t>
      </w:r>
    </w:p>
    <w:p>
      <w:pPr>
        <w:pStyle w:val="BodyText"/>
        <w:rPr>
          <w:b/>
          <w:bCs/>
          <w:sz w:val="28"/>
        </w:rPr>
      </w:pPr>
      <w:r>
        <w:rPr>
          <w:b/>
          <w:bCs/>
          <w:sz w:val="28"/>
        </w:rPr>
      </w:r>
    </w:p>
    <w:p>
      <w:pPr>
        <w:pStyle w:val="BodyText"/>
        <w:rPr/>
      </w:pPr>
      <w:r>
        <w:rPr/>
        <w:drawing>
          <wp:inline distT="0" distB="0" distL="0" distR="0">
            <wp:extent cx="3708400" cy="620395"/>
            <wp:effectExtent l="0" t="0" r="0" b="0"/>
            <wp:docPr id="47"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6" descr="" title=""/>
                    <pic:cNvPicPr>
                      <a:picLocks noChangeAspect="1" noChangeArrowheads="1"/>
                    </pic:cNvPicPr>
                  </pic:nvPicPr>
                  <pic:blipFill>
                    <a:blip r:embed="rId6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who venture online to meet their procurement requirements will demand a secure environment for their transactions.  The Company’s information, the RFQ requirements, the buyer’s preferences, the offers and the method of payment must be kept a far from prying eyes.</w:t>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Irrevocable Offer</w:t>
      </w:r>
    </w:p>
    <w:p>
      <w:pPr>
        <w:pStyle w:val="BodyText"/>
        <w:rPr>
          <w:b/>
          <w:bCs/>
          <w:sz w:val="28"/>
        </w:rPr>
      </w:pPr>
      <w:r>
        <w:rPr>
          <w:b/>
          <w:bCs/>
          <w:sz w:val="28"/>
        </w:rPr>
      </w:r>
    </w:p>
    <w:p>
      <w:pPr>
        <w:pStyle w:val="BodyText"/>
        <w:rPr/>
      </w:pPr>
      <w:r>
        <w:rPr/>
        <w:drawing>
          <wp:inline distT="0" distB="0" distL="0" distR="0">
            <wp:extent cx="3708400" cy="620395"/>
            <wp:effectExtent l="0" t="0" r="0" b="0"/>
            <wp:docPr id="48"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7" descr="" title=""/>
                    <pic:cNvPicPr>
                      <a:picLocks noChangeAspect="1" noChangeArrowheads="1"/>
                    </pic:cNvPicPr>
                  </pic:nvPicPr>
                  <pic:blipFill>
                    <a:blip r:embed="rId6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must be assured that all offers presented to him or her are irrevocable.  If the buyer decides to buy before the offer expiration date, the supplier cannot change his offers for the worst.</w:t>
      </w:r>
    </w:p>
    <w:p>
      <w:pPr>
        <w:pStyle w:val="BodyText"/>
        <w:rPr/>
      </w:pPr>
      <w:r>
        <w:rPr/>
      </w:r>
    </w:p>
    <w:p>
      <w:pPr>
        <w:pStyle w:val="BodyText"/>
        <w:rPr/>
      </w:pPr>
      <w:r>
        <w:rPr/>
      </w:r>
    </w:p>
    <w:p>
      <w:pPr>
        <w:pStyle w:val="BodyText"/>
        <w:rPr>
          <w:b/>
          <w:bCs/>
          <w:sz w:val="28"/>
        </w:rPr>
      </w:pPr>
      <w:r>
        <w:rPr>
          <w:b/>
          <w:bCs/>
          <w:sz w:val="28"/>
        </w:rPr>
        <w:t>Replenishment Option</w:t>
      </w:r>
    </w:p>
    <w:p>
      <w:pPr>
        <w:pStyle w:val="BodyText"/>
        <w:rPr>
          <w:b/>
          <w:bCs/>
          <w:sz w:val="28"/>
        </w:rPr>
      </w:pPr>
      <w:r>
        <w:rPr>
          <w:b/>
          <w:bCs/>
          <w:sz w:val="28"/>
        </w:rPr>
      </w:r>
    </w:p>
    <w:p>
      <w:pPr>
        <w:pStyle w:val="BodyText"/>
        <w:rPr/>
      </w:pPr>
      <w:r>
        <w:rPr/>
        <w:drawing>
          <wp:inline distT="0" distB="0" distL="0" distR="0">
            <wp:extent cx="3708400" cy="620395"/>
            <wp:effectExtent l="0" t="0" r="0" b="0"/>
            <wp:docPr id="49"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8" descr="" title=""/>
                    <pic:cNvPicPr>
                      <a:picLocks noChangeAspect="1" noChangeArrowheads="1"/>
                    </pic:cNvPicPr>
                  </pic:nvPicPr>
                  <pic:blipFill>
                    <a:blip r:embed="rId6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estimated that 80% of orders are replenishment.  Hence, it is important for the buyer to be allowed to source once and then automate the process for future orders.  RFQs can be saved so that quantities can be adjusted or so that they get triggered at specific intervals of time.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Ability to Adjust Quantity</w:t>
      </w:r>
    </w:p>
    <w:p>
      <w:pPr>
        <w:pStyle w:val="BodyText"/>
        <w:rPr>
          <w:b/>
          <w:bCs/>
          <w:sz w:val="28"/>
        </w:rPr>
      </w:pPr>
      <w:r>
        <w:rPr>
          <w:b/>
          <w:bCs/>
          <w:sz w:val="28"/>
        </w:rPr>
      </w:r>
    </w:p>
    <w:p>
      <w:pPr>
        <w:pStyle w:val="BodyText"/>
        <w:rPr/>
      </w:pPr>
      <w:r>
        <w:rPr/>
        <w:drawing>
          <wp:inline distT="0" distB="0" distL="0" distR="0">
            <wp:extent cx="3708400" cy="620395"/>
            <wp:effectExtent l="0" t="0" r="0" b="0"/>
            <wp:docPr id="50"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9" descr="" title=""/>
                    <pic:cNvPicPr>
                      <a:picLocks noChangeAspect="1" noChangeArrowheads="1"/>
                    </pic:cNvPicPr>
                  </pic:nvPicPr>
                  <pic:blipFill>
                    <a:blip r:embed="rId6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often purchase products with quantities of two or more.  The system must allow them the opportunity to do so.</w:t>
      </w:r>
    </w:p>
    <w:p>
      <w:pPr>
        <w:pStyle w:val="BodyText"/>
        <w:rPr/>
      </w:pPr>
      <w:r>
        <w:rPr/>
      </w:r>
    </w:p>
    <w:p>
      <w:pPr>
        <w:pStyle w:val="BodyText"/>
        <w:rPr/>
      </w:pPr>
      <w:r>
        <w:rPr/>
      </w:r>
    </w:p>
    <w:p>
      <w:pPr>
        <w:pStyle w:val="BodyText"/>
        <w:rPr>
          <w:b/>
          <w:bCs/>
          <w:sz w:val="28"/>
        </w:rPr>
      </w:pPr>
      <w:r>
        <w:rPr>
          <w:b/>
          <w:bCs/>
          <w:sz w:val="28"/>
        </w:rPr>
        <w:t>Select Shipping Addresses</w:t>
      </w:r>
    </w:p>
    <w:p>
      <w:pPr>
        <w:pStyle w:val="BodyText"/>
        <w:rPr>
          <w:b/>
          <w:bCs/>
          <w:sz w:val="28"/>
        </w:rPr>
      </w:pPr>
      <w:r>
        <w:rPr>
          <w:b/>
          <w:bCs/>
          <w:sz w:val="28"/>
        </w:rPr>
      </w:r>
    </w:p>
    <w:p>
      <w:pPr>
        <w:pStyle w:val="BodyText"/>
        <w:rPr/>
      </w:pPr>
      <w:r>
        <w:rPr/>
        <w:drawing>
          <wp:inline distT="0" distB="0" distL="0" distR="0">
            <wp:extent cx="3708400" cy="620395"/>
            <wp:effectExtent l="0" t="0" r="0" b="0"/>
            <wp:docPr id="51"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0" descr="" title=""/>
                    <pic:cNvPicPr>
                      <a:picLocks noChangeAspect="1" noChangeArrowheads="1"/>
                    </pic:cNvPicPr>
                  </pic:nvPicPr>
                  <pic:blipFill>
                    <a:blip r:embed="rId6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who open bill of materials may want to ship different products at different addresses.  Furthermore, the address of the buyer may not be where the products need to be shipped.</w:t>
      </w:r>
    </w:p>
    <w:p>
      <w:pPr>
        <w:pStyle w:val="BodyText"/>
        <w:rPr/>
      </w:pPr>
      <w:r>
        <w:rPr/>
      </w:r>
    </w:p>
    <w:p>
      <w:pPr>
        <w:pStyle w:val="BodyText"/>
        <w:rPr>
          <w:b/>
          <w:bCs/>
          <w:sz w:val="28"/>
        </w:rPr>
      </w:pPr>
      <w:r>
        <w:rPr>
          <w:b/>
          <w:bCs/>
          <w:sz w:val="28"/>
        </w:rPr>
        <w:t>Buyer Anonymity Option</w:t>
      </w:r>
    </w:p>
    <w:p>
      <w:pPr>
        <w:pStyle w:val="BodyText"/>
        <w:rPr>
          <w:b/>
          <w:bCs/>
          <w:sz w:val="28"/>
        </w:rPr>
      </w:pPr>
      <w:r>
        <w:rPr>
          <w:b/>
          <w:bCs/>
          <w:sz w:val="28"/>
        </w:rPr>
      </w:r>
    </w:p>
    <w:p>
      <w:pPr>
        <w:pStyle w:val="BodyText"/>
        <w:rPr/>
      </w:pPr>
      <w:r>
        <w:rPr/>
        <w:drawing>
          <wp:inline distT="0" distB="0" distL="0" distR="0">
            <wp:extent cx="3708400" cy="666750"/>
            <wp:effectExtent l="0" t="0" r="0" b="0"/>
            <wp:docPr id="52"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1" descr="" title=""/>
                    <pic:cNvPicPr>
                      <a:picLocks noChangeAspect="1" noChangeArrowheads="1"/>
                    </pic:cNvPicPr>
                  </pic:nvPicPr>
                  <pic:blipFill>
                    <a:blip r:embed="rId65"/>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 xml:space="preserve">Buyers often have strategic supplier relationships they may want to preserve.  By having an anonymity option, the buyer can choose the reveal his identity to a supplier or more. </w:t>
      </w:r>
      <w:r>
        <w:rPr>
          <w:i/>
          <w:iCs/>
        </w:rPr>
        <w:t>(This needs to be validated by actual buyers)</w:t>
      </w:r>
    </w:p>
    <w:p>
      <w:pPr>
        <w:pStyle w:val="BodyText"/>
        <w:rPr>
          <w:i/>
          <w:i/>
          <w:iCs/>
        </w:rPr>
      </w:pPr>
      <w:r>
        <w:rPr>
          <w:i/>
          <w:iCs/>
        </w:rPr>
      </w:r>
    </w:p>
    <w:p>
      <w:pPr>
        <w:pStyle w:val="BodyText"/>
        <w:rPr>
          <w:i/>
          <w:i/>
          <w:iCs/>
        </w:rPr>
      </w:pPr>
      <w:r>
        <w:rPr>
          <w:i/>
          <w:iCs/>
        </w:rPr>
      </w:r>
    </w:p>
    <w:p>
      <w:pPr>
        <w:pStyle w:val="BodyText"/>
        <w:rPr>
          <w:b/>
          <w:bCs/>
          <w:sz w:val="28"/>
        </w:rPr>
      </w:pPr>
      <w:r>
        <w:rPr>
          <w:b/>
          <w:bCs/>
          <w:sz w:val="28"/>
        </w:rPr>
        <w:t>Bill of Material Option</w:t>
      </w:r>
    </w:p>
    <w:p>
      <w:pPr>
        <w:pStyle w:val="BodyText"/>
        <w:rPr>
          <w:b/>
          <w:bCs/>
          <w:sz w:val="28"/>
        </w:rPr>
      </w:pPr>
      <w:r>
        <w:rPr>
          <w:b/>
          <w:bCs/>
          <w:sz w:val="28"/>
        </w:rPr>
      </w:r>
    </w:p>
    <w:p>
      <w:pPr>
        <w:pStyle w:val="BodyText"/>
        <w:rPr/>
      </w:pPr>
      <w:r>
        <w:rPr/>
        <w:drawing>
          <wp:inline distT="0" distB="0" distL="0" distR="0">
            <wp:extent cx="3708400" cy="620395"/>
            <wp:effectExtent l="0" t="0" r="0" b="0"/>
            <wp:docPr id="53"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2" descr="" title=""/>
                    <pic:cNvPicPr>
                      <a:picLocks noChangeAspect="1" noChangeArrowheads="1"/>
                    </pic:cNvPicPr>
                  </pic:nvPicPr>
                  <pic:blipFill>
                    <a:blip r:embed="rId6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often go to the RFQ process when they have a bill of materials (several products and services) to fill.  The system needs to allow for a bill of materials option and track the progress for each product and each supplier if more than one supplier will supply the goods.</w:t>
      </w:r>
    </w:p>
    <w:p>
      <w:pPr>
        <w:pStyle w:val="BodyText"/>
        <w:rPr/>
      </w:pPr>
      <w:r>
        <w:rPr/>
      </w:r>
    </w:p>
    <w:p>
      <w:pPr>
        <w:pStyle w:val="BodyText"/>
        <w:rPr>
          <w:b/>
          <w:bCs/>
          <w:sz w:val="28"/>
        </w:rPr>
      </w:pPr>
      <w:r>
        <w:rPr>
          <w:b/>
          <w:bCs/>
          <w:sz w:val="28"/>
        </w:rPr>
      </w:r>
    </w:p>
    <w:p>
      <w:pPr>
        <w:pStyle w:val="BodyText"/>
        <w:rPr>
          <w:b/>
          <w:bCs/>
          <w:sz w:val="28"/>
        </w:rPr>
      </w:pPr>
      <w:r>
        <w:rPr>
          <w:b/>
          <w:bCs/>
          <w:sz w:val="28"/>
        </w:rPr>
        <w:t>Selection of Payment Method</w:t>
      </w:r>
    </w:p>
    <w:p>
      <w:pPr>
        <w:pStyle w:val="BodyText"/>
        <w:rPr>
          <w:b/>
          <w:bCs/>
          <w:sz w:val="28"/>
        </w:rPr>
      </w:pPr>
      <w:r>
        <w:rPr>
          <w:b/>
          <w:bCs/>
          <w:sz w:val="28"/>
        </w:rPr>
      </w:r>
    </w:p>
    <w:p>
      <w:pPr>
        <w:pStyle w:val="BodyText"/>
        <w:rPr/>
      </w:pPr>
      <w:r>
        <w:rPr/>
        <w:drawing>
          <wp:inline distT="0" distB="0" distL="0" distR="0">
            <wp:extent cx="3708400" cy="620395"/>
            <wp:effectExtent l="0" t="0" r="0" b="0"/>
            <wp:docPr id="54"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3" descr="" title=""/>
                    <pic:cNvPicPr>
                      <a:picLocks noChangeAspect="1" noChangeArrowheads="1"/>
                    </pic:cNvPicPr>
                  </pic:nvPicPr>
                  <pic:blipFill>
                    <a:blip r:embed="rId6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Although a third-party service provider such as OrderTrust will probably handle the payment piece of the process, buyers want to have a choice in payment methods (e.g. procurement card, line of credit, check, EFT, etc.).  The handling fee for each transaction will be added to the buyer’s bill.  The buyer must also be able to track the payment status via the site.</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pPr>
      <w:r>
        <w:rPr>
          <w:b/>
          <w:bCs/>
          <w:sz w:val="28"/>
        </w:rPr>
        <w:t>2</w:t>
      </w:r>
      <w:r>
        <w:rPr>
          <w:b/>
          <w:bCs/>
          <w:sz w:val="28"/>
          <w:vertAlign w:val="superscript"/>
        </w:rPr>
        <w:t>nd</w:t>
      </w:r>
      <w:r>
        <w:rPr>
          <w:b/>
          <w:bCs/>
          <w:sz w:val="28"/>
        </w:rPr>
        <w:t xml:space="preserve"> RFQ Option</w:t>
      </w:r>
    </w:p>
    <w:p>
      <w:pPr>
        <w:pStyle w:val="BodyText"/>
        <w:rPr>
          <w:b/>
          <w:bCs/>
          <w:sz w:val="28"/>
        </w:rPr>
      </w:pPr>
      <w:r>
        <w:rPr>
          <w:b/>
          <w:bCs/>
          <w:sz w:val="28"/>
        </w:rPr>
      </w:r>
    </w:p>
    <w:p>
      <w:pPr>
        <w:pStyle w:val="BodyText"/>
        <w:rPr/>
      </w:pPr>
      <w:r>
        <w:rPr/>
        <w:drawing>
          <wp:inline distT="0" distB="0" distL="0" distR="0">
            <wp:extent cx="3708400" cy="620395"/>
            <wp:effectExtent l="0" t="0" r="0" b="0"/>
            <wp:docPr id="55"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4" descr="" title=""/>
                    <pic:cNvPicPr>
                      <a:picLocks noChangeAspect="1" noChangeArrowheads="1"/>
                    </pic:cNvPicPr>
                  </pic:nvPicPr>
                  <pic:blipFill>
                    <a:blip r:embed="rId6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If the system does not offer a satisfactory match, the buyer should be allowed to re-define his requirements and preferences before re-submitting his RFQ for a second time.</w:t>
      </w:r>
    </w:p>
    <w:p>
      <w:pPr>
        <w:pStyle w:val="BodyText"/>
        <w:rPr/>
      </w:pPr>
      <w:r>
        <w:rPr/>
      </w:r>
    </w:p>
    <w:p>
      <w:pPr>
        <w:pStyle w:val="BodyText"/>
        <w:rPr>
          <w:b/>
          <w:bCs/>
          <w:sz w:val="28"/>
        </w:rPr>
      </w:pPr>
      <w:r>
        <w:rPr>
          <w:b/>
          <w:bCs/>
          <w:sz w:val="28"/>
        </w:rPr>
        <w:t>One-Click Buy</w:t>
      </w:r>
    </w:p>
    <w:p>
      <w:pPr>
        <w:pStyle w:val="BodyText"/>
        <w:rPr>
          <w:b/>
          <w:bCs/>
          <w:sz w:val="28"/>
        </w:rPr>
      </w:pPr>
      <w:r>
        <w:rPr>
          <w:b/>
          <w:bCs/>
          <w:sz w:val="28"/>
        </w:rPr>
      </w:r>
    </w:p>
    <w:p>
      <w:pPr>
        <w:pStyle w:val="BodyText"/>
        <w:rPr>
          <w:b/>
          <w:bCs/>
          <w:sz w:val="28"/>
        </w:rPr>
      </w:pPr>
      <w:r>
        <w:rPr/>
        <w:drawing>
          <wp:inline distT="0" distB="0" distL="0" distR="0">
            <wp:extent cx="3708400" cy="620395"/>
            <wp:effectExtent l="0" t="0" r="0" b="0"/>
            <wp:docPr id="56"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5" descr="" title=""/>
                    <pic:cNvPicPr>
                      <a:picLocks noChangeAspect="1" noChangeArrowheads="1"/>
                    </pic:cNvPicPr>
                  </pic:nvPicPr>
                  <pic:blipFill>
                    <a:blip r:embed="rId69"/>
                    <a:srcRect l="-15" t="-89" r="-15" b="-89"/>
                    <a:stretch>
                      <a:fillRect/>
                    </a:stretch>
                  </pic:blipFill>
                  <pic:spPr bwMode="auto">
                    <a:xfrm>
                      <a:off x="0" y="0"/>
                      <a:ext cx="3708400" cy="620395"/>
                    </a:xfrm>
                    <a:prstGeom prst="rect">
                      <a:avLst/>
                    </a:prstGeom>
                    <a:noFill/>
                  </pic:spPr>
                </pic:pic>
              </a:graphicData>
            </a:graphic>
          </wp:inline>
        </w:drawing>
      </w:r>
    </w:p>
    <w:p>
      <w:pPr>
        <w:pStyle w:val="BodyText"/>
        <w:rPr>
          <w:b/>
          <w:bCs/>
          <w:sz w:val="28"/>
        </w:rPr>
      </w:pPr>
      <w:r>
        <w:rPr>
          <w:b/>
          <w:bCs/>
          <w:sz w:val="28"/>
        </w:rPr>
      </w:r>
    </w:p>
    <w:p>
      <w:pPr>
        <w:pStyle w:val="BodyText"/>
        <w:rPr/>
      </w:pPr>
      <w:r>
        <w:rPr/>
        <w:t>Once a buyer has entered all the payment, shipping, and name into the system, he or she should not be re-key it again for future buys.  If Amazon does not allow for this patented feature to be utilized, another method should be devised (e.g. corporate account).</w:t>
      </w:r>
    </w:p>
    <w:p>
      <w:pPr>
        <w:pStyle w:val="BodyText"/>
        <w:rPr/>
      </w:pPr>
      <w:r>
        <w:rPr/>
      </w:r>
    </w:p>
    <w:p>
      <w:pPr>
        <w:pStyle w:val="BodyText"/>
        <w:rPr/>
      </w:pPr>
      <w:r>
        <w:rPr/>
      </w:r>
    </w:p>
    <w:p>
      <w:pPr>
        <w:pStyle w:val="BodyText"/>
        <w:rPr/>
      </w:pPr>
      <w:r>
        <w:rPr>
          <w:b/>
          <w:bCs/>
          <w:sz w:val="28"/>
        </w:rPr>
        <w:t>2</w:t>
      </w:r>
      <w:r>
        <w:rPr>
          <w:b/>
          <w:bCs/>
          <w:sz w:val="28"/>
          <w:vertAlign w:val="superscript"/>
        </w:rPr>
        <w:t>nd</w:t>
      </w:r>
      <w:r>
        <w:rPr>
          <w:b/>
          <w:bCs/>
          <w:sz w:val="28"/>
        </w:rPr>
        <w:t xml:space="preserve"> Reverse Auction</w:t>
      </w:r>
    </w:p>
    <w:p>
      <w:pPr>
        <w:pStyle w:val="BodyText"/>
        <w:rPr>
          <w:b/>
          <w:bCs/>
          <w:sz w:val="28"/>
        </w:rPr>
      </w:pPr>
      <w:r>
        <w:rPr>
          <w:b/>
          <w:bCs/>
          <w:sz w:val="28"/>
        </w:rPr>
      </w:r>
    </w:p>
    <w:p>
      <w:pPr>
        <w:pStyle w:val="BodyText"/>
        <w:rPr/>
      </w:pPr>
      <w:r>
        <w:rPr/>
        <w:drawing>
          <wp:inline distT="0" distB="0" distL="0" distR="0">
            <wp:extent cx="3708400" cy="620395"/>
            <wp:effectExtent l="0" t="0" r="0" b="0"/>
            <wp:docPr id="57"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6" descr="" title=""/>
                    <pic:cNvPicPr>
                      <a:picLocks noChangeAspect="1" noChangeArrowheads="1"/>
                    </pic:cNvPicPr>
                  </pic:nvPicPr>
                  <pic:blipFill>
                    <a:blip r:embed="rId7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Once the engine has tabulated the results of the search, the buyer would like to see the best offers of the top selected suppliers (adjusted offers).  This is an integral part of the process of the RFQ engine.</w:t>
      </w:r>
    </w:p>
    <w:p>
      <w:pPr>
        <w:pStyle w:val="BodyText"/>
        <w:rPr>
          <w:b/>
          <w:bCs/>
          <w:sz w:val="28"/>
        </w:rPr>
      </w:pPr>
      <w:r>
        <w:rPr>
          <w:b/>
          <w:bCs/>
          <w:sz w:val="28"/>
        </w:rPr>
        <w:t>Ability to Update Demographics</w:t>
      </w:r>
    </w:p>
    <w:p>
      <w:pPr>
        <w:pStyle w:val="BodyText"/>
        <w:rPr>
          <w:b/>
          <w:bCs/>
          <w:sz w:val="28"/>
        </w:rPr>
      </w:pPr>
      <w:r>
        <w:rPr>
          <w:b/>
          <w:bCs/>
          <w:sz w:val="28"/>
        </w:rPr>
      </w:r>
    </w:p>
    <w:p>
      <w:pPr>
        <w:pStyle w:val="BodyText"/>
        <w:rPr/>
      </w:pPr>
      <w:r>
        <w:rPr/>
        <w:drawing>
          <wp:inline distT="0" distB="0" distL="0" distR="0">
            <wp:extent cx="3708400" cy="620395"/>
            <wp:effectExtent l="0" t="0" r="0" b="0"/>
            <wp:docPr id="58"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7" descr="" title=""/>
                    <pic:cNvPicPr>
                      <a:picLocks noChangeAspect="1" noChangeArrowheads="1"/>
                    </pic:cNvPicPr>
                  </pic:nvPicPr>
                  <pic:blipFill>
                    <a:blip r:embed="rId7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demographic information given during the registration process change with time.  The user should be allowed to update it at their own leisure.</w:t>
      </w:r>
    </w:p>
    <w:p>
      <w:pPr>
        <w:pStyle w:val="BodyText"/>
        <w:rPr/>
      </w:pPr>
      <w:r>
        <w:rPr/>
      </w:r>
    </w:p>
    <w:p>
      <w:pPr>
        <w:pStyle w:val="BodyText"/>
        <w:rPr/>
      </w:pPr>
      <w:r>
        <w:rPr/>
      </w:r>
    </w:p>
    <w:p>
      <w:pPr>
        <w:pStyle w:val="BodyText"/>
        <w:rPr>
          <w:b/>
          <w:bCs/>
          <w:sz w:val="28"/>
        </w:rPr>
      </w:pPr>
      <w:r>
        <w:rPr>
          <w:b/>
          <w:bCs/>
          <w:sz w:val="28"/>
        </w:rPr>
        <w:t>Keep Buyer on Site</w:t>
      </w:r>
    </w:p>
    <w:p>
      <w:pPr>
        <w:pStyle w:val="BodyText"/>
        <w:rPr>
          <w:b/>
          <w:bCs/>
          <w:sz w:val="28"/>
        </w:rPr>
      </w:pPr>
      <w:r>
        <w:rPr>
          <w:b/>
          <w:bCs/>
          <w:sz w:val="28"/>
        </w:rPr>
      </w:r>
    </w:p>
    <w:p>
      <w:pPr>
        <w:pStyle w:val="BodyText"/>
        <w:rPr/>
      </w:pPr>
      <w:r>
        <w:rPr/>
        <w:drawing>
          <wp:inline distT="0" distB="0" distL="0" distR="0">
            <wp:extent cx="3708400" cy="620395"/>
            <wp:effectExtent l="0" t="0" r="0" b="0"/>
            <wp:docPr id="59"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8" descr="" title=""/>
                    <pic:cNvPicPr>
                      <a:picLocks noChangeAspect="1" noChangeArrowheads="1"/>
                    </pic:cNvPicPr>
                  </pic:nvPicPr>
                  <pic:blipFill>
                    <a:blip r:embed="rId7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If the site provides any external links to third-party providers, the buyer should be guided back to the PerfectRFQ.com site either through incentives or by design.</w:t>
      </w:r>
    </w:p>
    <w:p>
      <w:pPr>
        <w:pStyle w:val="BodyText"/>
        <w:rPr/>
      </w:pPr>
      <w:r>
        <w:rPr/>
      </w:r>
    </w:p>
    <w:p>
      <w:pPr>
        <w:pStyle w:val="BodyText"/>
        <w:rPr/>
      </w:pPr>
      <w:r>
        <w:rPr/>
      </w:r>
    </w:p>
    <w:p>
      <w:pPr>
        <w:pStyle w:val="BodyText"/>
        <w:rPr>
          <w:b/>
          <w:bCs/>
          <w:sz w:val="28"/>
        </w:rPr>
      </w:pPr>
      <w:r>
        <w:rPr>
          <w:b/>
          <w:bCs/>
          <w:sz w:val="28"/>
        </w:rPr>
        <w:t>Automatic Save Feature</w:t>
      </w:r>
    </w:p>
    <w:p>
      <w:pPr>
        <w:pStyle w:val="BodyText"/>
        <w:rPr>
          <w:b/>
          <w:bCs/>
          <w:sz w:val="28"/>
        </w:rPr>
      </w:pPr>
      <w:r>
        <w:rPr>
          <w:b/>
          <w:bCs/>
          <w:sz w:val="28"/>
        </w:rPr>
      </w:r>
    </w:p>
    <w:p>
      <w:pPr>
        <w:pStyle w:val="BodyText"/>
        <w:rPr/>
      </w:pPr>
      <w:r>
        <w:rPr/>
        <w:drawing>
          <wp:inline distT="0" distB="0" distL="0" distR="0">
            <wp:extent cx="3708400" cy="620395"/>
            <wp:effectExtent l="0" t="0" r="0" b="0"/>
            <wp:docPr id="60"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9" descr="" title=""/>
                    <pic:cNvPicPr>
                      <a:picLocks noChangeAspect="1" noChangeArrowheads="1"/>
                    </pic:cNvPicPr>
                  </pic:nvPicPr>
                  <pic:blipFill>
                    <a:blip r:embed="rId7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If the system were to crash in the middle of an RFQ, the user should automatically save the RFQ for future retrieval.</w:t>
      </w:r>
    </w:p>
    <w:p>
      <w:pPr>
        <w:pStyle w:val="BodyText"/>
        <w:rPr/>
      </w:pPr>
      <w:r>
        <w:rPr/>
      </w:r>
    </w:p>
    <w:p>
      <w:pPr>
        <w:pStyle w:val="BodyText"/>
        <w:rPr/>
      </w:pPr>
      <w:r>
        <w:rPr/>
      </w:r>
    </w:p>
    <w:p>
      <w:pPr>
        <w:pStyle w:val="BodyText"/>
        <w:rPr/>
      </w:pPr>
      <w:r>
        <w:rPr/>
      </w:r>
    </w:p>
    <w:p>
      <w:pPr>
        <w:pStyle w:val="BodyText"/>
        <w:rPr>
          <w:b/>
          <w:bCs/>
          <w:sz w:val="28"/>
        </w:rPr>
      </w:pPr>
      <w:r>
        <w:rPr>
          <w:b/>
          <w:bCs/>
          <w:sz w:val="28"/>
        </w:rPr>
        <w:t>Reminder Option</w:t>
      </w:r>
    </w:p>
    <w:p>
      <w:pPr>
        <w:pStyle w:val="BodyText"/>
        <w:rPr>
          <w:b/>
          <w:bCs/>
          <w:sz w:val="28"/>
        </w:rPr>
      </w:pPr>
      <w:r>
        <w:rPr>
          <w:b/>
          <w:bCs/>
          <w:sz w:val="28"/>
        </w:rPr>
      </w:r>
    </w:p>
    <w:p>
      <w:pPr>
        <w:pStyle w:val="BodyText"/>
        <w:rPr/>
      </w:pPr>
      <w:r>
        <w:rPr/>
        <w:drawing>
          <wp:inline distT="0" distB="0" distL="0" distR="0">
            <wp:extent cx="3708400" cy="666750"/>
            <wp:effectExtent l="0" t="0" r="0" b="0"/>
            <wp:docPr id="61"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0" descr="" title=""/>
                    <pic:cNvPicPr>
                      <a:picLocks noChangeAspect="1" noChangeArrowheads="1"/>
                    </pic:cNvPicPr>
                  </pic:nvPicPr>
                  <pic:blipFill>
                    <a:blip r:embed="rId74"/>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buyer would find it useful to have a selection of reminder options (e.g. warranty expiration, service schedule, scheduled RFQs, etc.).</w:t>
      </w:r>
    </w:p>
    <w:p>
      <w:pPr>
        <w:pStyle w:val="BodyText"/>
        <w:rPr/>
      </w:pPr>
      <w:r>
        <w:rPr/>
      </w:r>
    </w:p>
    <w:p>
      <w:pPr>
        <w:pStyle w:val="BodyText"/>
        <w:rPr/>
      </w:pPr>
      <w:r>
        <w:rPr/>
      </w:r>
    </w:p>
    <w:p>
      <w:pPr>
        <w:pStyle w:val="BodyText"/>
        <w:rPr>
          <w:b/>
          <w:bCs/>
          <w:sz w:val="28"/>
        </w:rPr>
      </w:pPr>
      <w:r>
        <w:rPr>
          <w:b/>
          <w:bCs/>
          <w:sz w:val="28"/>
        </w:rPr>
        <w:t>Winner Transparency</w:t>
      </w:r>
    </w:p>
    <w:p>
      <w:pPr>
        <w:pStyle w:val="BodyText"/>
        <w:rPr>
          <w:b/>
          <w:bCs/>
          <w:sz w:val="28"/>
        </w:rPr>
      </w:pPr>
      <w:r>
        <w:rPr>
          <w:b/>
          <w:bCs/>
          <w:sz w:val="28"/>
        </w:rPr>
      </w:r>
    </w:p>
    <w:p>
      <w:pPr>
        <w:pStyle w:val="BodyText"/>
        <w:rPr/>
      </w:pPr>
      <w:r>
        <w:rPr/>
        <w:drawing>
          <wp:inline distT="0" distB="0" distL="0" distR="0">
            <wp:extent cx="3708400" cy="620395"/>
            <wp:effectExtent l="0" t="0" r="0" b="0"/>
            <wp:docPr id="62"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1" descr="" title=""/>
                    <pic:cNvPicPr>
                      <a:picLocks noChangeAspect="1" noChangeArrowheads="1"/>
                    </pic:cNvPicPr>
                  </pic:nvPicPr>
                  <pic:blipFill>
                    <a:blip r:embed="rId7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Once a supplier has been selected has the winner and the buyer has chosen to purchase, the coordinates of the supplier should be revealed.  This will facilitate any interaction between the two parties.</w:t>
      </w:r>
    </w:p>
    <w:p>
      <w:pPr>
        <w:pStyle w:val="BodyText"/>
        <w:rPr/>
      </w:pPr>
      <w:r>
        <w:rPr/>
      </w:r>
    </w:p>
    <w:p>
      <w:pPr>
        <w:pStyle w:val="BodyText"/>
        <w:rPr/>
      </w:pPr>
      <w:r>
        <w:rPr/>
      </w:r>
    </w:p>
    <w:p>
      <w:pPr>
        <w:pStyle w:val="BodyText"/>
        <w:rPr>
          <w:b/>
          <w:bCs/>
          <w:sz w:val="28"/>
        </w:rPr>
      </w:pPr>
      <w:r>
        <w:rPr>
          <w:b/>
          <w:bCs/>
          <w:sz w:val="28"/>
        </w:rPr>
        <w:t>Ability to Enter a Part Number</w:t>
      </w:r>
    </w:p>
    <w:p>
      <w:pPr>
        <w:pStyle w:val="BodyText"/>
        <w:rPr>
          <w:b/>
          <w:bCs/>
          <w:sz w:val="28"/>
        </w:rPr>
      </w:pPr>
      <w:r>
        <w:rPr>
          <w:b/>
          <w:bCs/>
          <w:sz w:val="28"/>
        </w:rPr>
      </w:r>
    </w:p>
    <w:p>
      <w:pPr>
        <w:pStyle w:val="BodyText"/>
        <w:rPr/>
      </w:pPr>
      <w:r>
        <w:rPr/>
        <w:drawing>
          <wp:inline distT="0" distB="0" distL="0" distR="0">
            <wp:extent cx="3708400" cy="620395"/>
            <wp:effectExtent l="0" t="0" r="0" b="0"/>
            <wp:docPr id="63"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2" descr="" title=""/>
                    <pic:cNvPicPr>
                      <a:picLocks noChangeAspect="1" noChangeArrowheads="1"/>
                    </pic:cNvPicPr>
                  </pic:nvPicPr>
                  <pic:blipFill>
                    <a:blip r:embed="rId7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Professional buyers typically use part numbers and SKUs to identify the product of interest.  This field must be available for them to use.</w:t>
      </w:r>
    </w:p>
    <w:p>
      <w:pPr>
        <w:pStyle w:val="BodyText"/>
        <w:rPr/>
      </w:pPr>
      <w:r>
        <w:rPr/>
      </w:r>
    </w:p>
    <w:p>
      <w:pPr>
        <w:pStyle w:val="BodyText"/>
        <w:rPr/>
      </w:pPr>
      <w:r>
        <w:rPr/>
      </w:r>
    </w:p>
    <w:p>
      <w:pPr>
        <w:pStyle w:val="BodyText"/>
        <w:rPr>
          <w:b/>
          <w:bCs/>
          <w:sz w:val="28"/>
        </w:rPr>
      </w:pPr>
      <w:r>
        <w:rPr>
          <w:b/>
          <w:bCs/>
          <w:sz w:val="28"/>
        </w:rPr>
        <w:t>Quantifiable Sliders</w:t>
      </w:r>
    </w:p>
    <w:p>
      <w:pPr>
        <w:pStyle w:val="BodyText"/>
        <w:rPr>
          <w:b/>
          <w:bCs/>
          <w:sz w:val="28"/>
        </w:rPr>
      </w:pPr>
      <w:r>
        <w:rPr>
          <w:b/>
          <w:bCs/>
          <w:sz w:val="28"/>
        </w:rPr>
      </w:r>
    </w:p>
    <w:p>
      <w:pPr>
        <w:pStyle w:val="BodyText"/>
        <w:rPr/>
      </w:pPr>
      <w:r>
        <w:rPr/>
        <w:drawing>
          <wp:inline distT="0" distB="0" distL="0" distR="0">
            <wp:extent cx="3708400" cy="620395"/>
            <wp:effectExtent l="0" t="0" r="0" b="0"/>
            <wp:docPr id="64"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3" descr="" title=""/>
                    <pic:cNvPicPr>
                      <a:picLocks noChangeAspect="1" noChangeArrowheads="1"/>
                    </pic:cNvPicPr>
                  </pic:nvPicPr>
                  <pic:blipFill>
                    <a:blip r:embed="rId7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buyer’s preferences must be actionable by the seller.  Hence, the sliders must offer precise details in terms of quantifiable detail (e.g. pine lumber of grade 3.5-4.0)</w:t>
      </w:r>
    </w:p>
    <w:p>
      <w:pPr>
        <w:pStyle w:val="BodyText"/>
        <w:rPr/>
      </w:pPr>
      <w:r>
        <w:rPr/>
      </w:r>
    </w:p>
    <w:p>
      <w:pPr>
        <w:pStyle w:val="BodyText"/>
        <w:rPr/>
      </w:pPr>
      <w:r>
        <w:rPr/>
      </w:r>
    </w:p>
    <w:p>
      <w:pPr>
        <w:pStyle w:val="BodyText"/>
        <w:rPr>
          <w:b/>
          <w:bCs/>
          <w:sz w:val="28"/>
        </w:rPr>
      </w:pPr>
      <w:r>
        <w:rPr>
          <w:b/>
          <w:bCs/>
          <w:sz w:val="28"/>
        </w:rPr>
        <w:t>Ability to Compare Offers</w:t>
      </w:r>
    </w:p>
    <w:p>
      <w:pPr>
        <w:pStyle w:val="BodyText"/>
        <w:rPr>
          <w:b/>
          <w:bCs/>
          <w:sz w:val="28"/>
        </w:rPr>
      </w:pPr>
      <w:r>
        <w:rPr>
          <w:b/>
          <w:bCs/>
          <w:sz w:val="28"/>
        </w:rPr>
      </w:r>
    </w:p>
    <w:p>
      <w:pPr>
        <w:pStyle w:val="BodyText"/>
        <w:rPr/>
      </w:pPr>
      <w:r>
        <w:rPr/>
        <w:drawing>
          <wp:inline distT="0" distB="0" distL="0" distR="0">
            <wp:extent cx="3708400" cy="620395"/>
            <wp:effectExtent l="0" t="0" r="0" b="0"/>
            <wp:docPr id="65"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4" descr="" title=""/>
                    <pic:cNvPicPr>
                      <a:picLocks noChangeAspect="1" noChangeArrowheads="1"/>
                    </pic:cNvPicPr>
                  </pic:nvPicPr>
                  <pic:blipFill>
                    <a:blip r:embed="rId7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should be able to compare two offers or more side-by-side including the details of the first reverse auction, the adjusted offers, and the reasons why one supplier had the top ranking.</w:t>
      </w:r>
    </w:p>
    <w:p>
      <w:pPr>
        <w:pStyle w:val="BodyText"/>
        <w:rPr/>
      </w:pPr>
      <w:r>
        <w:rPr/>
      </w:r>
    </w:p>
    <w:p>
      <w:pPr>
        <w:pStyle w:val="BodyText"/>
        <w:rPr/>
      </w:pPr>
      <w:r>
        <w:rPr/>
      </w:r>
    </w:p>
    <w:p>
      <w:pPr>
        <w:pStyle w:val="BodyText"/>
        <w:rPr>
          <w:b/>
          <w:bCs/>
          <w:sz w:val="28"/>
        </w:rPr>
      </w:pPr>
      <w:r>
        <w:rPr>
          <w:b/>
          <w:bCs/>
          <w:sz w:val="28"/>
        </w:rPr>
        <w:t>RFQ Confirmation</w:t>
      </w:r>
    </w:p>
    <w:p>
      <w:pPr>
        <w:pStyle w:val="BodyText"/>
        <w:rPr>
          <w:b/>
          <w:bCs/>
          <w:sz w:val="28"/>
        </w:rPr>
      </w:pPr>
      <w:r>
        <w:rPr>
          <w:b/>
          <w:bCs/>
          <w:sz w:val="28"/>
        </w:rPr>
      </w:r>
    </w:p>
    <w:p>
      <w:pPr>
        <w:pStyle w:val="BodyText"/>
        <w:rPr/>
      </w:pPr>
      <w:r>
        <w:rPr/>
        <w:drawing>
          <wp:inline distT="0" distB="0" distL="0" distR="0">
            <wp:extent cx="3708400" cy="620395"/>
            <wp:effectExtent l="0" t="0" r="0" b="0"/>
            <wp:docPr id="66"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5" descr="" title=""/>
                    <pic:cNvPicPr>
                      <a:picLocks noChangeAspect="1" noChangeArrowheads="1"/>
                    </pic:cNvPicPr>
                  </pic:nvPicPr>
                  <pic:blipFill>
                    <a:blip r:embed="rId7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The buyer should be given the opportunity to review his or her RFQ data before submitting it be processing.  Once it is submitted, a confirmation order (that can be printed) is issued for reference.</w:t>
      </w:r>
    </w:p>
    <w:p>
      <w:pPr>
        <w:pStyle w:val="BodyText"/>
        <w:rPr>
          <w:b/>
          <w:bCs/>
          <w:sz w:val="28"/>
        </w:rPr>
      </w:pPr>
      <w:r>
        <w:rPr>
          <w:b/>
          <w:bCs/>
          <w:sz w:val="28"/>
        </w:rPr>
        <w:t>Ability to Fax Quotes</w:t>
      </w:r>
    </w:p>
    <w:p>
      <w:pPr>
        <w:pStyle w:val="BodyText"/>
        <w:rPr>
          <w:b/>
          <w:bCs/>
          <w:sz w:val="28"/>
        </w:rPr>
      </w:pPr>
      <w:r>
        <w:rPr>
          <w:b/>
          <w:bCs/>
          <w:sz w:val="28"/>
        </w:rPr>
      </w:r>
    </w:p>
    <w:p>
      <w:pPr>
        <w:pStyle w:val="BodyText"/>
        <w:rPr/>
      </w:pPr>
      <w:r>
        <w:rPr/>
        <w:drawing>
          <wp:inline distT="0" distB="0" distL="0" distR="0">
            <wp:extent cx="3708400" cy="666750"/>
            <wp:effectExtent l="0" t="0" r="0" b="0"/>
            <wp:docPr id="67"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6" descr="" title=""/>
                    <pic:cNvPicPr>
                      <a:picLocks noChangeAspect="1" noChangeArrowheads="1"/>
                    </pic:cNvPicPr>
                  </pic:nvPicPr>
                  <pic:blipFill>
                    <a:blip r:embed="rId80"/>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Certain industries require that quotes by faxed in as proof of receipt.  The buyer should be given the opportunity to ask for a faxed copy as well as an option in the RFQ definition process.</w:t>
      </w:r>
    </w:p>
    <w:p>
      <w:pPr>
        <w:pStyle w:val="BodyText"/>
        <w:rPr/>
      </w:pPr>
      <w:r>
        <w:rPr/>
      </w:r>
    </w:p>
    <w:p>
      <w:pPr>
        <w:pStyle w:val="BodyText"/>
        <w:rPr/>
      </w:pPr>
      <w:r>
        <w:rPr/>
      </w:r>
    </w:p>
    <w:p>
      <w:pPr>
        <w:pStyle w:val="BodyText"/>
        <w:rPr>
          <w:b/>
          <w:bCs/>
          <w:sz w:val="28"/>
        </w:rPr>
      </w:pPr>
      <w:r>
        <w:rPr>
          <w:b/>
          <w:bCs/>
          <w:sz w:val="28"/>
        </w:rPr>
        <w:t>Reduce Cycle Time</w:t>
      </w:r>
    </w:p>
    <w:p>
      <w:pPr>
        <w:pStyle w:val="BodyText"/>
        <w:rPr>
          <w:b/>
          <w:bCs/>
          <w:sz w:val="28"/>
        </w:rPr>
      </w:pPr>
      <w:r>
        <w:rPr>
          <w:b/>
          <w:bCs/>
          <w:sz w:val="28"/>
        </w:rPr>
      </w:r>
    </w:p>
    <w:p>
      <w:pPr>
        <w:pStyle w:val="BodyText"/>
        <w:rPr/>
      </w:pPr>
      <w:r>
        <w:rPr/>
        <w:drawing>
          <wp:inline distT="0" distB="0" distL="0" distR="0">
            <wp:extent cx="3708400" cy="620395"/>
            <wp:effectExtent l="0" t="0" r="0" b="0"/>
            <wp:docPr id="68"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7" descr="" title=""/>
                    <pic:cNvPicPr>
                      <a:picLocks noChangeAspect="1" noChangeArrowheads="1"/>
                    </pic:cNvPicPr>
                  </pic:nvPicPr>
                  <pic:blipFill>
                    <a:blip r:embed="rId8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buyer will utilize the online system only if it reduces the procurement cycle time.  A clock can be integrated into the interface to calculate the time spent on the RFQ process and thus, provide an analysis tool.</w:t>
      </w:r>
    </w:p>
    <w:p>
      <w:pPr>
        <w:pStyle w:val="BodyText"/>
        <w:rPr/>
      </w:pPr>
      <w:r>
        <w:rPr/>
      </w:r>
    </w:p>
    <w:p>
      <w:pPr>
        <w:pStyle w:val="BodyText"/>
        <w:rPr>
          <w:b/>
          <w:bCs/>
          <w:sz w:val="28"/>
        </w:rPr>
      </w:pPr>
      <w:r>
        <w:rPr>
          <w:b/>
          <w:bCs/>
          <w:sz w:val="28"/>
        </w:rPr>
        <w:t>RFQ History Log</w:t>
      </w:r>
    </w:p>
    <w:p>
      <w:pPr>
        <w:pStyle w:val="BodyText"/>
        <w:rPr>
          <w:b/>
          <w:bCs/>
          <w:sz w:val="28"/>
        </w:rPr>
      </w:pPr>
      <w:r>
        <w:rPr>
          <w:b/>
          <w:bCs/>
          <w:sz w:val="28"/>
        </w:rPr>
      </w:r>
    </w:p>
    <w:p>
      <w:pPr>
        <w:pStyle w:val="BodyText"/>
        <w:rPr/>
      </w:pPr>
      <w:r>
        <w:rPr/>
        <w:drawing>
          <wp:inline distT="0" distB="0" distL="0" distR="0">
            <wp:extent cx="3708400" cy="620395"/>
            <wp:effectExtent l="0" t="0" r="0" b="0"/>
            <wp:docPr id="69" name="Image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8" descr="" title=""/>
                    <pic:cNvPicPr>
                      <a:picLocks noChangeAspect="1" noChangeArrowheads="1"/>
                    </pic:cNvPicPr>
                  </pic:nvPicPr>
                  <pic:blipFill>
                    <a:blip r:embed="rId8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be able to review a RFQ history log in their account.  This could include a list of all RFQs to date with product attributes, requirements, preferences, and deal attributes.</w:t>
      </w:r>
    </w:p>
    <w:p>
      <w:pPr>
        <w:pStyle w:val="BodyText"/>
        <w:rPr/>
      </w:pPr>
      <w:r>
        <w:rPr/>
      </w:r>
    </w:p>
    <w:p>
      <w:pPr>
        <w:pStyle w:val="BodyText"/>
        <w:rPr>
          <w:b/>
          <w:bCs/>
          <w:sz w:val="28"/>
        </w:rPr>
      </w:pPr>
      <w:r>
        <w:rPr>
          <w:b/>
          <w:bCs/>
          <w:sz w:val="28"/>
        </w:rPr>
        <w:t>RFI Option</w:t>
      </w:r>
    </w:p>
    <w:p>
      <w:pPr>
        <w:pStyle w:val="BodyText"/>
        <w:rPr>
          <w:b/>
          <w:bCs/>
          <w:sz w:val="28"/>
        </w:rPr>
      </w:pPr>
      <w:r>
        <w:rPr>
          <w:b/>
          <w:bCs/>
          <w:sz w:val="28"/>
        </w:rPr>
      </w:r>
    </w:p>
    <w:p>
      <w:pPr>
        <w:pStyle w:val="BodyText"/>
        <w:rPr/>
      </w:pPr>
      <w:r>
        <w:rPr/>
        <w:object w:dxaOrig="3841" w:dyaOrig="631">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292.1pt;height:48.05pt" filled="f" o:ole="">
            <v:imagedata r:id="rId84" o:title=""/>
          </v:shape>
          <o:OLEObject Type="Embed" ProgID="" ShapeID="ole_rId83" DrawAspect="Content" ObjectID="_335476601" r:id="rId83"/>
        </w:object>
      </w:r>
    </w:p>
    <w:p>
      <w:pPr>
        <w:pStyle w:val="BodyText"/>
        <w:rPr/>
      </w:pPr>
      <w:r>
        <w:rPr/>
      </w:r>
    </w:p>
    <w:p>
      <w:pPr>
        <w:pStyle w:val="BodyText"/>
        <w:rPr/>
      </w:pPr>
      <w:r>
        <w:rPr/>
        <w:t>Certain industries such as the construction industry, require Requests For Information (RFIs) to estimate the budget for specific projects.  Such a feature would be advantageous to the buyer and will incentivize him to use the RFQ process at PerfectRFQ.com when the time comes to set up the real deal.</w:t>
      </w:r>
    </w:p>
    <w:p>
      <w:pPr>
        <w:pStyle w:val="BodyText"/>
        <w:rPr/>
      </w:pPr>
      <w:r>
        <w:rPr/>
      </w:r>
    </w:p>
    <w:p>
      <w:pPr>
        <w:pStyle w:val="BodyText"/>
        <w:rPr/>
      </w:pPr>
      <w:r>
        <w:rPr/>
      </w:r>
    </w:p>
    <w:p>
      <w:pPr>
        <w:pStyle w:val="BodyText"/>
        <w:rPr>
          <w:b/>
          <w:bCs/>
          <w:sz w:val="28"/>
        </w:rPr>
      </w:pPr>
      <w:r>
        <w:rPr>
          <w:b/>
          <w:bCs/>
          <w:sz w:val="28"/>
        </w:rPr>
        <w:t>Value Score Customization</w:t>
      </w:r>
    </w:p>
    <w:p>
      <w:pPr>
        <w:pStyle w:val="BodyText"/>
        <w:rPr>
          <w:b/>
          <w:bCs/>
          <w:sz w:val="28"/>
        </w:rPr>
      </w:pPr>
      <w:r>
        <w:rPr>
          <w:b/>
          <w:bCs/>
          <w:sz w:val="28"/>
        </w:rPr>
      </w:r>
    </w:p>
    <w:p>
      <w:pPr>
        <w:pStyle w:val="BodyText"/>
        <w:rPr>
          <w:b/>
          <w:bCs/>
          <w:sz w:val="28"/>
        </w:rPr>
      </w:pPr>
      <w:r>
        <w:rPr/>
        <w:object w:dxaOrig="3841" w:dyaOrig="631">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292.1pt;height:48.05pt" filled="f" o:ole="">
            <v:imagedata r:id="rId86" o:title=""/>
          </v:shape>
          <o:OLEObject Type="Embed" ProgID="" ShapeID="ole_rId85" DrawAspect="Content" ObjectID="_31551884" r:id="rId85"/>
        </w:object>
      </w:r>
    </w:p>
    <w:p>
      <w:pPr>
        <w:pStyle w:val="BodyText"/>
        <w:rPr>
          <w:b/>
          <w:bCs/>
          <w:sz w:val="28"/>
        </w:rPr>
      </w:pPr>
      <w:r>
        <w:rPr>
          <w:b/>
          <w:bCs/>
          <w:sz w:val="28"/>
        </w:rPr>
      </w:r>
    </w:p>
    <w:p>
      <w:pPr>
        <w:pStyle w:val="BodyText"/>
        <w:rPr/>
      </w:pPr>
      <w:r>
        <w:rPr/>
        <w:t>Different buyers require different methods of evaluation.  Buyers would like to be enabled to customize the interface and the value scores output.</w:t>
      </w:r>
    </w:p>
    <w:p>
      <w:pPr>
        <w:pStyle w:val="BodyText"/>
        <w:rPr/>
      </w:pPr>
      <w:r>
        <w:rPr/>
      </w:r>
    </w:p>
    <w:p>
      <w:pPr>
        <w:pStyle w:val="BodyText"/>
        <w:rPr/>
      </w:pPr>
      <w:r>
        <w:rPr/>
      </w:r>
    </w:p>
    <w:p>
      <w:pPr>
        <w:pStyle w:val="BodyText"/>
        <w:rPr>
          <w:b/>
          <w:bCs/>
          <w:sz w:val="28"/>
        </w:rPr>
      </w:pPr>
      <w:r>
        <w:rPr>
          <w:b/>
          <w:bCs/>
          <w:sz w:val="28"/>
        </w:rPr>
        <w:t>Popular Browser Support</w:t>
      </w:r>
    </w:p>
    <w:p>
      <w:pPr>
        <w:pStyle w:val="BodyText"/>
        <w:rPr>
          <w:b/>
          <w:bCs/>
          <w:sz w:val="28"/>
        </w:rPr>
      </w:pPr>
      <w:r>
        <w:rPr>
          <w:b/>
          <w:bCs/>
          <w:sz w:val="28"/>
        </w:rPr>
      </w:r>
    </w:p>
    <w:p>
      <w:pPr>
        <w:pStyle w:val="BodyText"/>
        <w:rPr/>
      </w:pPr>
      <w:r>
        <w:rPr/>
        <w:drawing>
          <wp:inline distT="0" distB="0" distL="0" distR="0">
            <wp:extent cx="3708400" cy="620395"/>
            <wp:effectExtent l="0" t="0" r="0" b="0"/>
            <wp:docPr id="70" name="Image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9" descr="" title=""/>
                    <pic:cNvPicPr>
                      <a:picLocks noChangeAspect="1" noChangeArrowheads="1"/>
                    </pic:cNvPicPr>
                  </pic:nvPicPr>
                  <pic:blipFill>
                    <a:blip r:embed="rId8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estimated that 93% of users utilize either Microsoft Internet Explorer 4.0+ or Netscape Navigator 4.0+ according to StatMarket.com.  The system must be optimized for both browsers.</w:t>
      </w:r>
    </w:p>
    <w:p>
      <w:pPr>
        <w:pStyle w:val="BodyText"/>
        <w:rPr>
          <w:b/>
          <w:bCs/>
          <w:sz w:val="28"/>
        </w:rPr>
      </w:pPr>
      <w:r>
        <w:rPr>
          <w:b/>
          <w:bCs/>
          <w:sz w:val="28"/>
        </w:rPr>
        <w:t>Streamline Site Re-Entry</w:t>
      </w:r>
    </w:p>
    <w:p>
      <w:pPr>
        <w:pStyle w:val="BodyText"/>
        <w:rPr>
          <w:b/>
          <w:bCs/>
          <w:sz w:val="28"/>
        </w:rPr>
      </w:pPr>
      <w:r>
        <w:rPr>
          <w:b/>
          <w:bCs/>
          <w:sz w:val="28"/>
        </w:rPr>
      </w:r>
    </w:p>
    <w:p>
      <w:pPr>
        <w:pStyle w:val="BodyText"/>
        <w:rPr/>
      </w:pPr>
      <w:r>
        <w:rPr/>
        <w:drawing>
          <wp:inline distT="0" distB="0" distL="0" distR="0">
            <wp:extent cx="3708400" cy="620395"/>
            <wp:effectExtent l="0" t="0" r="0" b="0"/>
            <wp:docPr id="71"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0" descr="" title=""/>
                    <pic:cNvPicPr>
                      <a:picLocks noChangeAspect="1" noChangeArrowheads="1"/>
                    </pic:cNvPicPr>
                  </pic:nvPicPr>
                  <pic:blipFill>
                    <a:blip r:embed="rId8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Once a user has registered, it would be appropriate to streamline the site re-entry and personalize it so that the user doesn’t have to repeat steps and make him or her feel at home.</w:t>
      </w:r>
    </w:p>
    <w:p>
      <w:pPr>
        <w:pStyle w:val="BodyText"/>
        <w:rPr/>
      </w:pPr>
      <w:r>
        <w:rPr/>
      </w:r>
    </w:p>
    <w:p>
      <w:pPr>
        <w:pStyle w:val="BodyText"/>
        <w:rPr/>
      </w:pPr>
      <w:r>
        <w:rPr/>
      </w:r>
    </w:p>
    <w:p>
      <w:pPr>
        <w:pStyle w:val="BodyText"/>
        <w:rPr>
          <w:b/>
          <w:bCs/>
          <w:sz w:val="28"/>
        </w:rPr>
      </w:pPr>
      <w:r>
        <w:rPr>
          <w:b/>
          <w:bCs/>
          <w:sz w:val="28"/>
        </w:rPr>
        <w:t>Delayed Purchase Commitment</w:t>
      </w:r>
    </w:p>
    <w:p>
      <w:pPr>
        <w:pStyle w:val="BodyText"/>
        <w:rPr>
          <w:b/>
          <w:bCs/>
          <w:sz w:val="28"/>
        </w:rPr>
      </w:pPr>
      <w:r>
        <w:rPr>
          <w:b/>
          <w:bCs/>
          <w:sz w:val="28"/>
        </w:rPr>
      </w:r>
    </w:p>
    <w:p>
      <w:pPr>
        <w:pStyle w:val="BodyText"/>
        <w:rPr/>
      </w:pPr>
      <w:r>
        <w:rPr/>
        <w:drawing>
          <wp:inline distT="0" distB="0" distL="0" distR="0">
            <wp:extent cx="3708400" cy="620395"/>
            <wp:effectExtent l="0" t="0" r="0" b="0"/>
            <wp:docPr id="72"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1" descr="" title=""/>
                    <pic:cNvPicPr>
                      <a:picLocks noChangeAspect="1" noChangeArrowheads="1"/>
                    </pic:cNvPicPr>
                  </pic:nvPicPr>
                  <pic:blipFill>
                    <a:blip r:embed="rId8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typically do not want to commit to buy anything online until the site delivers on its promise.  In our case, the system must present the list of top bidders before the buyer commits to buy from a particular supplier.</w:t>
      </w:r>
    </w:p>
    <w:p>
      <w:pPr>
        <w:pStyle w:val="BodyText"/>
        <w:rPr/>
      </w:pPr>
      <w:r>
        <w:rPr/>
      </w:r>
    </w:p>
    <w:p>
      <w:pPr>
        <w:pStyle w:val="BodyText"/>
        <w:rPr/>
      </w:pPr>
      <w:r>
        <w:rPr/>
      </w:r>
    </w:p>
    <w:p>
      <w:pPr>
        <w:pStyle w:val="BodyText"/>
        <w:rPr>
          <w:b/>
          <w:bCs/>
          <w:sz w:val="28"/>
        </w:rPr>
      </w:pPr>
      <w:r>
        <w:rPr>
          <w:b/>
          <w:bCs/>
          <w:sz w:val="28"/>
        </w:rPr>
        <w:t>Facilitate the Supplier Invitation Process</w:t>
      </w:r>
    </w:p>
    <w:p>
      <w:pPr>
        <w:pStyle w:val="BodyText"/>
        <w:rPr>
          <w:b/>
          <w:bCs/>
          <w:sz w:val="28"/>
        </w:rPr>
      </w:pPr>
      <w:r>
        <w:rPr>
          <w:b/>
          <w:bCs/>
          <w:sz w:val="28"/>
        </w:rPr>
      </w:r>
    </w:p>
    <w:p>
      <w:pPr>
        <w:pStyle w:val="BodyText"/>
        <w:rPr/>
      </w:pPr>
      <w:r>
        <w:rPr/>
        <w:drawing>
          <wp:inline distT="0" distB="0" distL="0" distR="0">
            <wp:extent cx="3708400" cy="620395"/>
            <wp:effectExtent l="0" t="0" r="0" b="0"/>
            <wp:docPr id="73" name="Image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2" descr="" title=""/>
                    <pic:cNvPicPr>
                      <a:picLocks noChangeAspect="1" noChangeArrowheads="1"/>
                    </pic:cNvPicPr>
                  </pic:nvPicPr>
                  <pic:blipFill>
                    <a:blip r:embed="rId9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will like to know how can they maximize their efforts to invite suppliers to register online and set their business rules.  A mechanism must be in place to facilitate the invitation process.</w:t>
      </w:r>
    </w:p>
    <w:p>
      <w:pPr>
        <w:pStyle w:val="BodyText"/>
        <w:rPr>
          <w:b/>
          <w:bCs/>
          <w:sz w:val="28"/>
        </w:rPr>
      </w:pPr>
      <w:r>
        <w:rPr>
          <w:b/>
          <w:bCs/>
          <w:sz w:val="28"/>
        </w:rPr>
        <w:t>Ability to Create Templates for Favorite Requisitions</w:t>
      </w:r>
    </w:p>
    <w:p>
      <w:pPr>
        <w:pStyle w:val="BodyText"/>
        <w:rPr>
          <w:b/>
          <w:bCs/>
          <w:sz w:val="28"/>
        </w:rPr>
      </w:pPr>
      <w:r>
        <w:rPr>
          <w:b/>
          <w:bCs/>
          <w:sz w:val="28"/>
        </w:rPr>
      </w:r>
    </w:p>
    <w:p>
      <w:pPr>
        <w:pStyle w:val="BodyText"/>
        <w:rPr/>
      </w:pPr>
      <w:r>
        <w:rPr/>
        <w:object w:dxaOrig="3841" w:dyaOrig="631">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292.1pt;height:48.05pt" filled="f" o:ole="">
            <v:imagedata r:id="rId92" o:title=""/>
          </v:shape>
          <o:OLEObject Type="Embed" ProgID="" ShapeID="ole_rId91" DrawAspect="Content" ObjectID="_1656195573" r:id="rId91"/>
        </w:object>
      </w:r>
    </w:p>
    <w:p>
      <w:pPr>
        <w:pStyle w:val="BodyText"/>
        <w:rPr/>
      </w:pPr>
      <w:r>
        <w:rPr/>
      </w:r>
    </w:p>
    <w:p>
      <w:pPr>
        <w:pStyle w:val="BodyText"/>
        <w:rPr/>
      </w:pPr>
      <w:r>
        <w:rPr/>
        <w:t>Buyers would prefer searching their own customized templates when comes time to execute RFQs.  A template creation tool for favorite requisitions can be useful.</w:t>
      </w:r>
    </w:p>
    <w:p>
      <w:pPr>
        <w:pStyle w:val="BodyText"/>
        <w:rPr/>
      </w:pPr>
      <w:r>
        <w:rPr/>
      </w:r>
    </w:p>
    <w:p>
      <w:pPr>
        <w:pStyle w:val="BodyText"/>
        <w:rPr/>
      </w:pPr>
      <w:r>
        <w:rPr/>
      </w:r>
    </w:p>
    <w:p>
      <w:pPr>
        <w:pStyle w:val="BodyText"/>
        <w:rPr>
          <w:b/>
          <w:bCs/>
          <w:sz w:val="28"/>
        </w:rPr>
      </w:pPr>
      <w:r>
        <w:rPr>
          <w:b/>
          <w:bCs/>
          <w:sz w:val="28"/>
        </w:rPr>
        <w:t>Ability to Bookmark Frequently Used Catalog Items</w:t>
      </w:r>
    </w:p>
    <w:p>
      <w:pPr>
        <w:pStyle w:val="BodyText"/>
        <w:rPr>
          <w:b/>
          <w:bCs/>
          <w:sz w:val="28"/>
        </w:rPr>
      </w:pPr>
      <w:r>
        <w:rPr>
          <w:b/>
          <w:bCs/>
          <w:sz w:val="28"/>
        </w:rPr>
      </w:r>
    </w:p>
    <w:p>
      <w:pPr>
        <w:pStyle w:val="BodyText"/>
        <w:rPr/>
      </w:pPr>
      <w:r>
        <w:rPr/>
        <w:object w:dxaOrig="3841" w:dyaOrig="631">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292.1pt;height:48.05pt" filled="f" o:ole="">
            <v:imagedata r:id="rId94" o:title=""/>
          </v:shape>
          <o:OLEObject Type="Embed" ProgID="" ShapeID="ole_rId93" DrawAspect="Content" ObjectID="_2052048585" r:id="rId93"/>
        </w:object>
      </w:r>
    </w:p>
    <w:p>
      <w:pPr>
        <w:pStyle w:val="BodyText"/>
        <w:rPr/>
      </w:pPr>
      <w:r>
        <w:rPr/>
      </w:r>
    </w:p>
    <w:p>
      <w:pPr>
        <w:pStyle w:val="BodyText"/>
        <w:rPr/>
      </w:pPr>
      <w:r>
        <w:rPr/>
        <w:t>Buyers that create RFQs for the same products over and over and do not wish to automate replenishment could bookmark frequently used catalog items for rapid access.</w:t>
      </w:r>
    </w:p>
    <w:p>
      <w:pPr>
        <w:pStyle w:val="BodyText"/>
        <w:rPr/>
      </w:pPr>
      <w:r>
        <w:rPr/>
      </w:r>
    </w:p>
    <w:p>
      <w:pPr>
        <w:pStyle w:val="BodyText"/>
        <w:rPr>
          <w:b/>
          <w:bCs/>
          <w:sz w:val="28"/>
        </w:rPr>
      </w:pPr>
      <w:r>
        <w:rPr>
          <w:b/>
          <w:bCs/>
          <w:sz w:val="28"/>
        </w:rPr>
      </w:r>
    </w:p>
    <w:p>
      <w:pPr>
        <w:pStyle w:val="BodyText"/>
        <w:rPr>
          <w:b/>
          <w:bCs/>
          <w:sz w:val="28"/>
        </w:rPr>
      </w:pPr>
      <w:r>
        <w:rPr>
          <w:b/>
          <w:bCs/>
          <w:sz w:val="28"/>
        </w:rPr>
        <w:t>Preferences Console</w:t>
      </w:r>
    </w:p>
    <w:p>
      <w:pPr>
        <w:pStyle w:val="BodyText"/>
        <w:rPr>
          <w:b/>
          <w:bCs/>
          <w:sz w:val="28"/>
        </w:rPr>
      </w:pPr>
      <w:r>
        <w:rPr>
          <w:b/>
          <w:bCs/>
          <w:sz w:val="28"/>
        </w:rPr>
      </w:r>
    </w:p>
    <w:p>
      <w:pPr>
        <w:pStyle w:val="BodyText"/>
        <w:rPr/>
      </w:pPr>
      <w:r>
        <w:rPr/>
        <w:drawing>
          <wp:inline distT="0" distB="0" distL="0" distR="0">
            <wp:extent cx="3708400" cy="666750"/>
            <wp:effectExtent l="0" t="0" r="0" b="0"/>
            <wp:docPr id="74" name="Image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3" descr="" title=""/>
                    <pic:cNvPicPr>
                      <a:picLocks noChangeAspect="1" noChangeArrowheads="1"/>
                    </pic:cNvPicPr>
                  </pic:nvPicPr>
                  <pic:blipFill>
                    <a:blip r:embed="rId95"/>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Buyers who want to analyze their preference patterns can do so in the preference console.</w:t>
      </w:r>
    </w:p>
    <w:p>
      <w:pPr>
        <w:pStyle w:val="BodyText"/>
        <w:rPr/>
      </w:pPr>
      <w:r>
        <w:rPr/>
      </w:r>
    </w:p>
    <w:p>
      <w:pPr>
        <w:pStyle w:val="BodyText"/>
        <w:rPr/>
      </w:pPr>
      <w:r>
        <w:rPr/>
      </w:r>
    </w:p>
    <w:p>
      <w:pPr>
        <w:pStyle w:val="BodyText"/>
        <w:rPr>
          <w:b/>
          <w:bCs/>
          <w:sz w:val="28"/>
        </w:rPr>
      </w:pPr>
      <w:r>
        <w:rPr>
          <w:b/>
          <w:bCs/>
          <w:sz w:val="28"/>
        </w:rPr>
        <w:t>Access to Updated Catalogue Library</w:t>
      </w:r>
    </w:p>
    <w:p>
      <w:pPr>
        <w:pStyle w:val="BodyText"/>
        <w:rPr>
          <w:b/>
          <w:bCs/>
          <w:sz w:val="28"/>
        </w:rPr>
      </w:pPr>
      <w:r>
        <w:rPr>
          <w:b/>
          <w:bCs/>
          <w:sz w:val="28"/>
        </w:rPr>
      </w:r>
    </w:p>
    <w:p>
      <w:pPr>
        <w:pStyle w:val="BodyText"/>
        <w:rPr/>
      </w:pPr>
      <w:r>
        <w:rPr/>
        <w:drawing>
          <wp:inline distT="0" distB="0" distL="0" distR="0">
            <wp:extent cx="3708400" cy="620395"/>
            <wp:effectExtent l="0" t="0" r="0" b="0"/>
            <wp:docPr id="75" name="Image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4" descr="" title=""/>
                    <pic:cNvPicPr>
                      <a:picLocks noChangeAspect="1" noChangeArrowheads="1"/>
                    </pic:cNvPicPr>
                  </pic:nvPicPr>
                  <pic:blipFill>
                    <a:blip r:embed="rId9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typically buy from products from catalogues.  By syndicating catalogue content from third-party providers, buyers could search for the products and part numbers that meet their requirements.</w:t>
      </w:r>
    </w:p>
    <w:p>
      <w:pPr>
        <w:pStyle w:val="BodyText"/>
        <w:rPr/>
      </w:pPr>
      <w:r>
        <w:rPr/>
      </w:r>
    </w:p>
    <w:p>
      <w:pPr>
        <w:pStyle w:val="BodyText"/>
        <w:rPr/>
      </w:pPr>
      <w:r>
        <w:rPr/>
      </w:r>
    </w:p>
    <w:p>
      <w:pPr>
        <w:pStyle w:val="BodyText"/>
        <w:rPr>
          <w:b/>
          <w:bCs/>
          <w:sz w:val="28"/>
        </w:rPr>
      </w:pPr>
      <w:r>
        <w:rPr>
          <w:b/>
          <w:bCs/>
          <w:sz w:val="28"/>
        </w:rPr>
        <w:t>Volume Discounts</w:t>
      </w:r>
    </w:p>
    <w:p>
      <w:pPr>
        <w:pStyle w:val="BodyText"/>
        <w:rPr>
          <w:b/>
          <w:bCs/>
          <w:sz w:val="28"/>
        </w:rPr>
      </w:pPr>
      <w:r>
        <w:rPr>
          <w:b/>
          <w:bCs/>
          <w:sz w:val="28"/>
        </w:rPr>
      </w:r>
    </w:p>
    <w:p>
      <w:pPr>
        <w:pStyle w:val="BodyText"/>
        <w:rPr/>
      </w:pPr>
      <w:r>
        <w:rPr/>
        <w:drawing>
          <wp:inline distT="0" distB="0" distL="0" distR="0">
            <wp:extent cx="3708400" cy="620395"/>
            <wp:effectExtent l="0" t="0" r="0" b="0"/>
            <wp:docPr id="76" name="Image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5" descr="" title=""/>
                    <pic:cNvPicPr>
                      <a:picLocks noChangeAspect="1" noChangeArrowheads="1"/>
                    </pic:cNvPicPr>
                  </pic:nvPicPr>
                  <pic:blipFill>
                    <a:blip r:embed="rId9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are always looking for ways to reduce costs.  Professional buyers are familiar with the concept of consortium buying and would appreciate similar advantages on our system.</w:t>
      </w:r>
    </w:p>
    <w:p>
      <w:pPr>
        <w:pStyle w:val="BodyText"/>
        <w:rPr/>
      </w:pPr>
      <w:r>
        <w:rPr/>
      </w:r>
    </w:p>
    <w:p>
      <w:pPr>
        <w:pStyle w:val="BodyText"/>
        <w:rPr>
          <w:b/>
          <w:bCs/>
          <w:sz w:val="28"/>
        </w:rPr>
      </w:pPr>
      <w:r>
        <w:rPr>
          <w:b/>
          <w:bCs/>
          <w:sz w:val="28"/>
        </w:rPr>
        <w:t>Aggregate Demand Within the Company</w:t>
      </w:r>
    </w:p>
    <w:p>
      <w:pPr>
        <w:pStyle w:val="BodyText"/>
        <w:rPr>
          <w:b/>
          <w:bCs/>
          <w:sz w:val="28"/>
        </w:rPr>
      </w:pPr>
      <w:r>
        <w:rPr>
          <w:b/>
          <w:bCs/>
          <w:sz w:val="28"/>
        </w:rPr>
      </w:r>
    </w:p>
    <w:p>
      <w:pPr>
        <w:pStyle w:val="BodyText"/>
        <w:rPr/>
      </w:pPr>
      <w:r>
        <w:rPr/>
        <w:drawing>
          <wp:inline distT="0" distB="0" distL="0" distR="0">
            <wp:extent cx="3708400" cy="620395"/>
            <wp:effectExtent l="0" t="0" r="0" b="0"/>
            <wp:docPr id="77" name="Image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6" descr="" title=""/>
                    <pic:cNvPicPr>
                      <a:picLocks noChangeAspect="1" noChangeArrowheads="1"/>
                    </pic:cNvPicPr>
                  </pic:nvPicPr>
                  <pic:blipFill>
                    <a:blip r:embed="rId9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Although each buyer has their own unique ID and password, there may be several buyers within one company buying similar products and services.  Therefore, it would be convenient to allow for the aggregation of demand within one company (D&amp;B + 2) to reduce cost and leverage the power of many.</w:t>
      </w:r>
    </w:p>
    <w:p>
      <w:pPr>
        <w:pStyle w:val="BodyText"/>
        <w:rPr>
          <w:b/>
          <w:bCs/>
          <w:sz w:val="28"/>
        </w:rPr>
      </w:pPr>
      <w:r>
        <w:rPr>
          <w:b/>
          <w:bCs/>
          <w:sz w:val="28"/>
        </w:rPr>
        <w:t>Engine Expert System</w:t>
      </w:r>
    </w:p>
    <w:p>
      <w:pPr>
        <w:pStyle w:val="BodyText"/>
        <w:rPr>
          <w:b/>
          <w:bCs/>
          <w:sz w:val="28"/>
        </w:rPr>
      </w:pPr>
      <w:r>
        <w:rPr>
          <w:b/>
          <w:bCs/>
          <w:sz w:val="28"/>
        </w:rPr>
      </w:r>
    </w:p>
    <w:p>
      <w:pPr>
        <w:pStyle w:val="BodyText"/>
        <w:rPr/>
      </w:pPr>
      <w:r>
        <w:rPr/>
        <w:object w:dxaOrig="3841" w:dyaOrig="631">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292.1pt;height:48.05pt" filled="f" o:ole="">
            <v:imagedata r:id="rId100" o:title=""/>
          </v:shape>
          <o:OLEObject Type="Embed" ProgID="" ShapeID="ole_rId99" DrawAspect="Content" ObjectID="_1336381605" r:id="rId99"/>
        </w:object>
      </w:r>
    </w:p>
    <w:p>
      <w:pPr>
        <w:pStyle w:val="BodyText"/>
        <w:rPr/>
      </w:pPr>
      <w:r>
        <w:rPr/>
      </w:r>
    </w:p>
    <w:p>
      <w:pPr>
        <w:pStyle w:val="BodyText"/>
        <w:rPr/>
      </w:pPr>
      <w:r>
        <w:rPr/>
        <w:t>Different industries require different buying processes and different evaluation criteria.  Therefore, it would be wise for the Company to contemplate building a portfolio of engines that meet the different needs of different buyers and offer a variety of reverse auction types with multiple market rules.  Furthermore, an expert system could recommend the appropriate engine based on the industry and the demands of the buyer.</w:t>
      </w:r>
    </w:p>
    <w:p>
      <w:pPr>
        <w:pStyle w:val="BodyText"/>
        <w:rPr/>
      </w:pPr>
      <w:r>
        <w:rPr/>
      </w:r>
    </w:p>
    <w:p>
      <w:pPr>
        <w:pStyle w:val="BodyText"/>
        <w:rPr/>
      </w:pPr>
      <w:r>
        <w:rPr/>
      </w:r>
    </w:p>
    <w:p>
      <w:pPr>
        <w:pStyle w:val="BodyText"/>
        <w:rPr>
          <w:b/>
          <w:bCs/>
          <w:sz w:val="28"/>
        </w:rPr>
      </w:pPr>
      <w:r>
        <w:rPr>
          <w:b/>
          <w:bCs/>
          <w:sz w:val="28"/>
        </w:rPr>
        <w:t>Product Expert System</w:t>
      </w:r>
    </w:p>
    <w:p>
      <w:pPr>
        <w:pStyle w:val="BodyText"/>
        <w:rPr>
          <w:b/>
          <w:bCs/>
          <w:sz w:val="28"/>
        </w:rPr>
      </w:pPr>
      <w:r>
        <w:rPr>
          <w:b/>
          <w:bCs/>
          <w:sz w:val="28"/>
        </w:rPr>
      </w:r>
    </w:p>
    <w:p>
      <w:pPr>
        <w:pStyle w:val="BodyText"/>
        <w:rPr/>
      </w:pPr>
      <w:r>
        <w:rPr/>
        <w:object w:dxaOrig="3841" w:dyaOrig="631">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292.1pt;height:48.05pt" filled="f" o:ole="">
            <v:imagedata r:id="rId102" o:title=""/>
          </v:shape>
          <o:OLEObject Type="Embed" ProgID="" ShapeID="ole_rId101" DrawAspect="Content" ObjectID="_614087505" r:id="rId101"/>
        </w:object>
      </w:r>
    </w:p>
    <w:p>
      <w:pPr>
        <w:pStyle w:val="BodyText"/>
        <w:rPr/>
      </w:pPr>
      <w:r>
        <w:rPr/>
      </w:r>
    </w:p>
    <w:p>
      <w:pPr>
        <w:pStyle w:val="BodyText"/>
        <w:rPr/>
      </w:pPr>
      <w:r>
        <w:rPr/>
        <w:t>Buyers do not always know what product to request.  Sometimes they only get a requisition for a product that would meet specific engineering requirements but doesn’t provide the name of the product.  An expert system could be built by vertical industry to recommend products in an unbiased fashion.</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Supplier Expert System</w:t>
      </w:r>
    </w:p>
    <w:p>
      <w:pPr>
        <w:pStyle w:val="BodyText"/>
        <w:rPr>
          <w:b/>
          <w:bCs/>
          <w:sz w:val="28"/>
        </w:rPr>
      </w:pPr>
      <w:r>
        <w:rPr>
          <w:b/>
          <w:bCs/>
          <w:sz w:val="28"/>
        </w:rPr>
      </w:r>
    </w:p>
    <w:p>
      <w:pPr>
        <w:pStyle w:val="BodyText"/>
        <w:rPr/>
      </w:pPr>
      <w:r>
        <w:rPr/>
        <w:object w:dxaOrig="3841" w:dyaOrig="631">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292.1pt;height:48.05pt" filled="f" o:ole="">
            <v:imagedata r:id="rId104" o:title=""/>
          </v:shape>
          <o:OLEObject Type="Embed" ProgID="" ShapeID="ole_rId103" DrawAspect="Content" ObjectID="_1963471854" r:id="rId103"/>
        </w:object>
      </w:r>
    </w:p>
    <w:p>
      <w:pPr>
        <w:pStyle w:val="BodyText"/>
        <w:rPr/>
      </w:pPr>
      <w:r>
        <w:rPr/>
      </w:r>
    </w:p>
    <w:p>
      <w:pPr>
        <w:pStyle w:val="BodyText"/>
        <w:rPr/>
      </w:pPr>
      <w:r>
        <w:rPr/>
        <w:t>As the database gets more exhaustive, an expert system can be conceived to provide supplier recommendation by industry to the buyer.  Buyers do not always know all the suppliers of specific products available.  This system would re-assure them that their process is more thorough.  This can once again be conducted in an unbiased fashion.</w:t>
      </w:r>
    </w:p>
    <w:p>
      <w:pPr>
        <w:pStyle w:val="BodyText"/>
        <w:rPr/>
      </w:pPr>
      <w:r>
        <w:rPr/>
      </w:r>
    </w:p>
    <w:p>
      <w:pPr>
        <w:pStyle w:val="BodyText"/>
        <w:rPr/>
      </w:pPr>
      <w:r>
        <w:rPr/>
      </w:r>
    </w:p>
    <w:p>
      <w:pPr>
        <w:pStyle w:val="BodyText"/>
        <w:rPr>
          <w:b/>
          <w:bCs/>
          <w:sz w:val="28"/>
        </w:rPr>
      </w:pPr>
      <w:r>
        <w:rPr>
          <w:b/>
          <w:bCs/>
          <w:sz w:val="28"/>
        </w:rPr>
        <w:t>Requirement Expert System</w:t>
      </w:r>
    </w:p>
    <w:p>
      <w:pPr>
        <w:pStyle w:val="BodyText"/>
        <w:rPr>
          <w:b/>
          <w:bCs/>
          <w:sz w:val="28"/>
        </w:rPr>
      </w:pPr>
      <w:r>
        <w:rPr>
          <w:b/>
          <w:bCs/>
          <w:sz w:val="28"/>
        </w:rPr>
      </w:r>
    </w:p>
    <w:p>
      <w:pPr>
        <w:pStyle w:val="BodyText"/>
        <w:rPr/>
      </w:pPr>
      <w:r>
        <w:rPr/>
        <w:drawing>
          <wp:inline distT="0" distB="0" distL="0" distR="0">
            <wp:extent cx="3708400" cy="666750"/>
            <wp:effectExtent l="0" t="0" r="0" b="0"/>
            <wp:docPr id="78" name="Image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7" descr="" title=""/>
                    <pic:cNvPicPr>
                      <a:picLocks noChangeAspect="1" noChangeArrowheads="1"/>
                    </pic:cNvPicPr>
                  </pic:nvPicPr>
                  <pic:blipFill>
                    <a:blip r:embed="rId105"/>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Many buyers do not know how to evaluate purchases.  A requirement expert system could guide them in their requirement search by providing them with industry standards.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ROI Analysis Tool</w:t>
      </w:r>
    </w:p>
    <w:p>
      <w:pPr>
        <w:pStyle w:val="BodyText"/>
        <w:rPr>
          <w:b/>
          <w:bCs/>
          <w:sz w:val="28"/>
        </w:rPr>
      </w:pPr>
      <w:r>
        <w:rPr>
          <w:b/>
          <w:bCs/>
          <w:sz w:val="28"/>
        </w:rPr>
      </w:r>
    </w:p>
    <w:p>
      <w:pPr>
        <w:pStyle w:val="BodyText"/>
        <w:rPr/>
      </w:pPr>
      <w:r>
        <w:rPr/>
        <w:drawing>
          <wp:inline distT="0" distB="0" distL="0" distR="0">
            <wp:extent cx="3708400" cy="666750"/>
            <wp:effectExtent l="0" t="0" r="0" b="0"/>
            <wp:docPr id="79" name="Image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8" descr="" title=""/>
                    <pic:cNvPicPr>
                      <a:picLocks noChangeAspect="1" noChangeArrowheads="1"/>
                    </pic:cNvPicPr>
                  </pic:nvPicPr>
                  <pic:blipFill>
                    <a:blip r:embed="rId106"/>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Buyers are always trying to find innovative ways to analyze their decisions to their superiors.  A ROI analysis tool that provides cost comparison between different scenarios would be useful.  The tool could also provide analysis between the costs of buying now versus the risk of running out of inventory.</w:t>
      </w:r>
    </w:p>
    <w:p>
      <w:pPr>
        <w:pStyle w:val="BodyText"/>
        <w:rPr/>
      </w:pPr>
      <w:r>
        <w:rPr/>
      </w:r>
    </w:p>
    <w:p>
      <w:pPr>
        <w:pStyle w:val="BodyText"/>
        <w:rPr/>
      </w:pPr>
      <w:r>
        <w:rPr/>
      </w:r>
    </w:p>
    <w:p>
      <w:pPr>
        <w:pStyle w:val="BodyText"/>
        <w:rPr>
          <w:b/>
          <w:bCs/>
          <w:sz w:val="28"/>
        </w:rPr>
      </w:pPr>
      <w:r>
        <w:rPr>
          <w:b/>
          <w:bCs/>
          <w:sz w:val="28"/>
        </w:rPr>
        <w:t>ERP Integration</w:t>
      </w:r>
    </w:p>
    <w:p>
      <w:pPr>
        <w:pStyle w:val="BodyText"/>
        <w:rPr>
          <w:b/>
          <w:bCs/>
          <w:sz w:val="28"/>
        </w:rPr>
      </w:pPr>
      <w:r>
        <w:rPr>
          <w:b/>
          <w:bCs/>
          <w:sz w:val="28"/>
        </w:rPr>
      </w:r>
    </w:p>
    <w:p>
      <w:pPr>
        <w:pStyle w:val="BodyText"/>
        <w:rPr/>
      </w:pPr>
      <w:r>
        <w:rPr/>
        <w:drawing>
          <wp:inline distT="0" distB="0" distL="0" distR="0">
            <wp:extent cx="3708400" cy="620395"/>
            <wp:effectExtent l="0" t="0" r="0" b="0"/>
            <wp:docPr id="80" name="Image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9" descr="" title=""/>
                    <pic:cNvPicPr>
                      <a:picLocks noChangeAspect="1" noChangeArrowheads="1"/>
                    </pic:cNvPicPr>
                  </pic:nvPicPr>
                  <pic:blipFill>
                    <a:blip r:embed="rId10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closer the solution to an end-to-end solution, the stickier is the proposition.  By tying the solution into back-end ERP systems such as Baan, Oracle, SAP, and PeopleSoft, buyers can automatically meet the requirements for audit.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No Proprietary Software</w:t>
      </w:r>
    </w:p>
    <w:p>
      <w:pPr>
        <w:pStyle w:val="BodyText"/>
        <w:rPr>
          <w:b/>
          <w:bCs/>
          <w:sz w:val="28"/>
        </w:rPr>
      </w:pPr>
      <w:r>
        <w:rPr>
          <w:b/>
          <w:bCs/>
          <w:sz w:val="28"/>
        </w:rPr>
      </w:r>
    </w:p>
    <w:p>
      <w:pPr>
        <w:pStyle w:val="BodyText"/>
        <w:rPr/>
      </w:pPr>
      <w:r>
        <w:rPr/>
        <w:drawing>
          <wp:inline distT="0" distB="0" distL="0" distR="0">
            <wp:extent cx="3708400" cy="620395"/>
            <wp:effectExtent l="0" t="0" r="0" b="0"/>
            <wp:docPr id="81" name="Image8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80" descr="" title=""/>
                    <pic:cNvPicPr>
                      <a:picLocks noChangeAspect="1" noChangeArrowheads="1"/>
                    </pic:cNvPicPr>
                  </pic:nvPicPr>
                  <pic:blipFill>
                    <a:blip r:embed="rId10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do not want to deal with the integration of proprietary software of their end.  This would slow the set up time and decrease their ROI.  They need to be able to deploy their RFQ rapidly.</w:t>
      </w:r>
    </w:p>
    <w:p>
      <w:pPr>
        <w:pStyle w:val="BodyText"/>
        <w:rPr/>
      </w:pPr>
      <w:r>
        <w:rPr/>
      </w:r>
    </w:p>
    <w:p>
      <w:pPr>
        <w:pStyle w:val="BodyText"/>
        <w:rPr/>
      </w:pPr>
      <w:r>
        <w:rPr/>
      </w:r>
    </w:p>
    <w:p>
      <w:pPr>
        <w:pStyle w:val="BodyText"/>
        <w:rPr>
          <w:b/>
          <w:bCs/>
          <w:sz w:val="28"/>
        </w:rPr>
      </w:pPr>
      <w:r>
        <w:rPr>
          <w:b/>
          <w:bCs/>
          <w:sz w:val="28"/>
        </w:rPr>
        <w:t>Intuitive Interface</w:t>
      </w:r>
    </w:p>
    <w:p>
      <w:pPr>
        <w:pStyle w:val="BodyText"/>
        <w:rPr>
          <w:b/>
          <w:bCs/>
          <w:sz w:val="28"/>
        </w:rPr>
      </w:pPr>
      <w:r>
        <w:rPr>
          <w:b/>
          <w:bCs/>
          <w:sz w:val="28"/>
        </w:rPr>
      </w:r>
    </w:p>
    <w:p>
      <w:pPr>
        <w:pStyle w:val="BodyText"/>
        <w:rPr/>
      </w:pPr>
      <w:r>
        <w:rPr/>
        <w:drawing>
          <wp:inline distT="0" distB="0" distL="0" distR="0">
            <wp:extent cx="3708400" cy="620395"/>
            <wp:effectExtent l="0" t="0" r="0" b="0"/>
            <wp:docPr id="82" name="Image8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1" descr="" title=""/>
                    <pic:cNvPicPr>
                      <a:picLocks noChangeAspect="1" noChangeArrowheads="1"/>
                    </pic:cNvPicPr>
                  </pic:nvPicPr>
                  <pic:blipFill>
                    <a:blip r:embed="rId10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an intuitive and consistent interface so that they know at all times where they stand in the process.  Step numbers could be implemented to reassure them of the event progression.</w:t>
      </w:r>
    </w:p>
    <w:p>
      <w:pPr>
        <w:pStyle w:val="BodyText"/>
        <w:rPr/>
      </w:pPr>
      <w:r>
        <w:rPr/>
      </w:r>
    </w:p>
    <w:p>
      <w:pPr>
        <w:pStyle w:val="BodyText"/>
        <w:rPr/>
      </w:pPr>
      <w:r>
        <w:rPr/>
      </w:r>
    </w:p>
    <w:p>
      <w:pPr>
        <w:pStyle w:val="BodyText"/>
        <w:rPr>
          <w:b/>
          <w:bCs/>
          <w:sz w:val="28"/>
        </w:rPr>
      </w:pPr>
      <w:r>
        <w:rPr>
          <w:b/>
          <w:bCs/>
          <w:sz w:val="28"/>
        </w:rPr>
        <w:t>Total Costs Savings</w:t>
      </w:r>
    </w:p>
    <w:p>
      <w:pPr>
        <w:pStyle w:val="BodyText"/>
        <w:rPr>
          <w:b/>
          <w:bCs/>
          <w:sz w:val="28"/>
        </w:rPr>
      </w:pPr>
      <w:r>
        <w:rPr>
          <w:b/>
          <w:bCs/>
          <w:sz w:val="28"/>
        </w:rPr>
      </w:r>
    </w:p>
    <w:p>
      <w:pPr>
        <w:pStyle w:val="BodyText"/>
        <w:rPr/>
      </w:pPr>
      <w:r>
        <w:rPr/>
        <w:drawing>
          <wp:inline distT="0" distB="0" distL="0" distR="0">
            <wp:extent cx="3708400" cy="620395"/>
            <wp:effectExtent l="0" t="0" r="0" b="0"/>
            <wp:docPr id="83" name="Image8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82" descr="" title=""/>
                    <pic:cNvPicPr>
                      <a:picLocks noChangeAspect="1" noChangeArrowheads="1"/>
                    </pic:cNvPicPr>
                  </pic:nvPicPr>
                  <pic:blipFill>
                    <a:blip r:embed="rId11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This goes without saying, but buyers will only use the system is it brings more efficiency to their operations and a reduction in the total cost of the RFQ.</w:t>
      </w:r>
    </w:p>
    <w:p>
      <w:pPr>
        <w:pStyle w:val="BodyText"/>
        <w:rPr/>
      </w:pPr>
      <w:r>
        <w:rPr/>
      </w:r>
    </w:p>
    <w:p>
      <w:pPr>
        <w:pStyle w:val="BodyText"/>
        <w:rPr>
          <w:b/>
          <w:bCs/>
          <w:sz w:val="28"/>
        </w:rPr>
      </w:pPr>
      <w:r>
        <w:rPr>
          <w:b/>
          <w:bCs/>
          <w:sz w:val="28"/>
        </w:rPr>
        <w:t>Ability to Select Multi-Dimensional Requirements</w:t>
      </w:r>
    </w:p>
    <w:p>
      <w:pPr>
        <w:pStyle w:val="BodyText"/>
        <w:rPr>
          <w:b/>
          <w:bCs/>
          <w:sz w:val="28"/>
        </w:rPr>
      </w:pPr>
      <w:r>
        <w:rPr>
          <w:b/>
          <w:bCs/>
          <w:sz w:val="28"/>
        </w:rPr>
      </w:r>
    </w:p>
    <w:p>
      <w:pPr>
        <w:pStyle w:val="BodyText"/>
        <w:rPr/>
      </w:pPr>
      <w:r>
        <w:rPr/>
        <w:drawing>
          <wp:inline distT="0" distB="0" distL="0" distR="0">
            <wp:extent cx="3708400" cy="620395"/>
            <wp:effectExtent l="0" t="0" r="0" b="0"/>
            <wp:docPr id="84" name="Image8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3" descr="" title=""/>
                    <pic:cNvPicPr>
                      <a:picLocks noChangeAspect="1" noChangeArrowheads="1"/>
                    </pic:cNvPicPr>
                  </pic:nvPicPr>
                  <pic:blipFill>
                    <a:blip r:embed="rId11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have other currencies than price to contend with they evaluate quotes.  Dimensions such as warranty, freight options, service, complementary products, and etc. all come into play.  Buyers want to be able to identify these requirements in their RFQ.</w:t>
      </w:r>
    </w:p>
    <w:p>
      <w:pPr>
        <w:pStyle w:val="BodyText"/>
        <w:rPr/>
      </w:pPr>
      <w:r>
        <w:rPr/>
      </w:r>
    </w:p>
    <w:p>
      <w:pPr>
        <w:pStyle w:val="BodyText"/>
        <w:rPr/>
      </w:pPr>
      <w:r>
        <w:rPr/>
      </w:r>
    </w:p>
    <w:p>
      <w:pPr>
        <w:pStyle w:val="BodyText"/>
        <w:rPr>
          <w:b/>
          <w:bCs/>
          <w:sz w:val="28"/>
        </w:rPr>
      </w:pPr>
      <w:r>
        <w:rPr>
          <w:b/>
          <w:bCs/>
          <w:sz w:val="28"/>
        </w:rPr>
        <w:t>Ability to Adjust Preferences</w:t>
      </w:r>
    </w:p>
    <w:p>
      <w:pPr>
        <w:pStyle w:val="BodyText"/>
        <w:rPr>
          <w:b/>
          <w:bCs/>
          <w:sz w:val="28"/>
        </w:rPr>
      </w:pPr>
      <w:r>
        <w:rPr>
          <w:b/>
          <w:bCs/>
          <w:sz w:val="28"/>
        </w:rPr>
      </w:r>
    </w:p>
    <w:p>
      <w:pPr>
        <w:pStyle w:val="BodyText"/>
        <w:rPr/>
      </w:pPr>
      <w:r>
        <w:rPr/>
        <w:drawing>
          <wp:inline distT="0" distB="0" distL="0" distR="0">
            <wp:extent cx="3708400" cy="620395"/>
            <wp:effectExtent l="0" t="0" r="0" b="0"/>
            <wp:docPr id="85" name="Image8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4" descr="" title=""/>
                    <pic:cNvPicPr>
                      <a:picLocks noChangeAspect="1" noChangeArrowheads="1"/>
                    </pic:cNvPicPr>
                  </pic:nvPicPr>
                  <pic:blipFill>
                    <a:blip r:embed="rId11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value each requirement differently.  Some are more important than others and thus, they want to be able to express those differences precisely in the RFQ.</w:t>
      </w:r>
    </w:p>
    <w:p>
      <w:pPr>
        <w:pStyle w:val="BodyText"/>
        <w:rPr/>
      </w:pPr>
      <w:r>
        <w:rPr/>
      </w:r>
    </w:p>
    <w:p>
      <w:pPr>
        <w:pStyle w:val="BodyText"/>
        <w:rPr/>
      </w:pPr>
      <w:r>
        <w:rPr/>
      </w:r>
    </w:p>
    <w:p>
      <w:pPr>
        <w:pStyle w:val="BodyText"/>
        <w:rPr>
          <w:b/>
          <w:bCs/>
          <w:sz w:val="28"/>
        </w:rPr>
      </w:pPr>
      <w:r>
        <w:rPr>
          <w:b/>
          <w:bCs/>
          <w:sz w:val="28"/>
        </w:rPr>
        <w:t>Internal Buying Analysis Tool</w:t>
      </w:r>
    </w:p>
    <w:p>
      <w:pPr>
        <w:pStyle w:val="BodyText"/>
        <w:rPr>
          <w:b/>
          <w:bCs/>
          <w:sz w:val="28"/>
        </w:rPr>
      </w:pPr>
      <w:r>
        <w:rPr>
          <w:b/>
          <w:bCs/>
          <w:sz w:val="28"/>
        </w:rPr>
      </w:r>
    </w:p>
    <w:p>
      <w:pPr>
        <w:pStyle w:val="BodyText"/>
        <w:rPr/>
      </w:pPr>
      <w:r>
        <w:rPr/>
        <w:drawing>
          <wp:inline distT="0" distB="0" distL="0" distR="0">
            <wp:extent cx="3708400" cy="620395"/>
            <wp:effectExtent l="0" t="0" r="0" b="0"/>
            <wp:docPr id="86" name="Image8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5" descr="" title=""/>
                    <pic:cNvPicPr>
                      <a:picLocks noChangeAspect="1" noChangeArrowheads="1"/>
                    </pic:cNvPicPr>
                  </pic:nvPicPr>
                  <pic:blipFill>
                    <a:blip r:embed="rId11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require that they be enabled in analyzing their buying patterns and spending by department, product category, etc.</w:t>
      </w:r>
    </w:p>
    <w:p>
      <w:pPr>
        <w:pStyle w:val="BodyText"/>
        <w:rPr/>
      </w:pPr>
      <w:r>
        <w:rPr/>
      </w:r>
    </w:p>
    <w:p>
      <w:pPr>
        <w:pStyle w:val="BodyText"/>
        <w:rPr>
          <w:b/>
          <w:bCs/>
          <w:sz w:val="28"/>
        </w:rPr>
      </w:pPr>
      <w:r>
        <w:rPr>
          <w:b/>
          <w:bCs/>
          <w:sz w:val="28"/>
        </w:rPr>
        <w:t>Supplier Performance Analysis Tool</w:t>
      </w:r>
    </w:p>
    <w:p>
      <w:pPr>
        <w:pStyle w:val="BodyText"/>
        <w:rPr>
          <w:b/>
          <w:bCs/>
          <w:sz w:val="28"/>
        </w:rPr>
      </w:pPr>
      <w:r>
        <w:rPr>
          <w:b/>
          <w:bCs/>
          <w:sz w:val="28"/>
        </w:rPr>
      </w:r>
    </w:p>
    <w:p>
      <w:pPr>
        <w:pStyle w:val="BodyText"/>
        <w:rPr/>
      </w:pPr>
      <w:r>
        <w:rPr/>
        <w:drawing>
          <wp:inline distT="0" distB="0" distL="0" distR="0">
            <wp:extent cx="3708400" cy="620395"/>
            <wp:effectExtent l="0" t="0" r="0" b="0"/>
            <wp:docPr id="87" name="Image8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6" descr="" title=""/>
                    <pic:cNvPicPr>
                      <a:picLocks noChangeAspect="1" noChangeArrowheads="1"/>
                    </pic:cNvPicPr>
                  </pic:nvPicPr>
                  <pic:blipFill>
                    <a:blip r:embed="rId11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be able to analyze the performance of the suppliers they do business with.  The analysis tool could provide information pertaining to delivery of the right quantity of the right product at the right time at the right address with the right documentation and with no defaults.  This translates into low maintenance, low exception processing and ease of doing business with.  BY assessing the supplier performance after each transaction, the reputation rating is affected.</w:t>
      </w:r>
    </w:p>
    <w:p>
      <w:pPr>
        <w:pStyle w:val="BodyText"/>
        <w:rPr/>
      </w:pPr>
      <w:r>
        <w:rPr/>
      </w:r>
    </w:p>
    <w:p>
      <w:pPr>
        <w:pStyle w:val="BodyText"/>
        <w:rPr/>
      </w:pPr>
      <w:r>
        <w:rPr/>
      </w:r>
    </w:p>
    <w:p>
      <w:pPr>
        <w:pStyle w:val="BodyText"/>
        <w:rPr>
          <w:b/>
          <w:bCs/>
          <w:sz w:val="28"/>
        </w:rPr>
      </w:pPr>
      <w:r>
        <w:rPr>
          <w:b/>
          <w:bCs/>
          <w:sz w:val="28"/>
        </w:rPr>
        <w:t>Market Buying Trends</w:t>
      </w:r>
    </w:p>
    <w:p>
      <w:pPr>
        <w:pStyle w:val="BodyText"/>
        <w:rPr>
          <w:b/>
          <w:bCs/>
          <w:sz w:val="28"/>
        </w:rPr>
      </w:pPr>
      <w:r>
        <w:rPr>
          <w:b/>
          <w:bCs/>
          <w:sz w:val="28"/>
        </w:rPr>
      </w:r>
    </w:p>
    <w:p>
      <w:pPr>
        <w:pStyle w:val="BodyText"/>
        <w:rPr/>
      </w:pPr>
      <w:r>
        <w:rPr/>
        <w:drawing>
          <wp:inline distT="0" distB="0" distL="0" distR="0">
            <wp:extent cx="3708400" cy="666750"/>
            <wp:effectExtent l="0" t="0" r="0" b="0"/>
            <wp:docPr id="88" name="Image8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7" descr="" title=""/>
                    <pic:cNvPicPr>
                      <a:picLocks noChangeAspect="1" noChangeArrowheads="1"/>
                    </pic:cNvPicPr>
                  </pic:nvPicPr>
                  <pic:blipFill>
                    <a:blip r:embed="rId115"/>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more information the buyer has at his or her disposition, the more intelligent the decision.  Market buying trends by industry could be provided as content and market intelligence as another buying tool.</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Ability to Deselect Bidding Suppliers</w:t>
      </w:r>
    </w:p>
    <w:p>
      <w:pPr>
        <w:pStyle w:val="BodyText"/>
        <w:rPr>
          <w:b/>
          <w:bCs/>
          <w:sz w:val="28"/>
        </w:rPr>
      </w:pPr>
      <w:r>
        <w:rPr>
          <w:b/>
          <w:bCs/>
          <w:sz w:val="28"/>
        </w:rPr>
      </w:r>
    </w:p>
    <w:p>
      <w:pPr>
        <w:pStyle w:val="BodyText"/>
        <w:rPr/>
      </w:pPr>
      <w:r>
        <w:rPr/>
        <w:drawing>
          <wp:inline distT="0" distB="0" distL="0" distR="0">
            <wp:extent cx="3708400" cy="620395"/>
            <wp:effectExtent l="0" t="0" r="0" b="0"/>
            <wp:docPr id="89" name="Image8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8" descr="" title=""/>
                    <pic:cNvPicPr>
                      <a:picLocks noChangeAspect="1" noChangeArrowheads="1"/>
                    </pic:cNvPicPr>
                  </pic:nvPicPr>
                  <pic:blipFill>
                    <a:blip r:embed="rId11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who have had bad experiences with specific suppliers (who may or may not have a high reputation rating nonetheless) may not wish to have their RFQ presented to them.  It is important for buyers to be able to de-select bidding suppliers if they choose so.</w:t>
      </w:r>
    </w:p>
    <w:p>
      <w:pPr>
        <w:pStyle w:val="BodyText"/>
        <w:rPr/>
      </w:pPr>
      <w:r>
        <w:rPr/>
      </w:r>
    </w:p>
    <w:p>
      <w:pPr>
        <w:pStyle w:val="BodyText"/>
        <w:rPr/>
      </w:pPr>
      <w:r>
        <w:rPr/>
      </w:r>
    </w:p>
    <w:p>
      <w:pPr>
        <w:pStyle w:val="BodyText"/>
        <w:rPr>
          <w:b/>
          <w:bCs/>
          <w:sz w:val="28"/>
        </w:rPr>
      </w:pPr>
      <w:r>
        <w:rPr>
          <w:b/>
          <w:bCs/>
          <w:sz w:val="28"/>
        </w:rPr>
        <w:t>Availability of Inventory</w:t>
      </w:r>
    </w:p>
    <w:p>
      <w:pPr>
        <w:pStyle w:val="BodyText"/>
        <w:rPr>
          <w:b/>
          <w:bCs/>
          <w:sz w:val="28"/>
        </w:rPr>
      </w:pPr>
      <w:r>
        <w:rPr>
          <w:b/>
          <w:bCs/>
          <w:sz w:val="28"/>
        </w:rPr>
      </w:r>
    </w:p>
    <w:p>
      <w:pPr>
        <w:pStyle w:val="BodyText"/>
        <w:rPr/>
      </w:pPr>
      <w:r>
        <w:rPr/>
        <w:drawing>
          <wp:inline distT="0" distB="0" distL="0" distR="0">
            <wp:extent cx="3708400" cy="620395"/>
            <wp:effectExtent l="0" t="0" r="0" b="0"/>
            <wp:docPr id="90" name="Image8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9" descr="" title=""/>
                    <pic:cNvPicPr>
                      <a:picLocks noChangeAspect="1" noChangeArrowheads="1"/>
                    </pic:cNvPicPr>
                  </pic:nvPicPr>
                  <pic:blipFill>
                    <a:blip r:embed="rId11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difficult for buyers to find suppliers that meet their product requirements.  It is even more frustrating for them to be able to locate suppliers that have the inventory necessary available to meet their needs.  Real-time inventory assessment of suppliers is a dream come true for buyers.</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Ability to Add Detail In the RFQ</w:t>
      </w:r>
    </w:p>
    <w:p>
      <w:pPr>
        <w:pStyle w:val="BodyText"/>
        <w:rPr>
          <w:b/>
          <w:bCs/>
          <w:sz w:val="28"/>
        </w:rPr>
      </w:pPr>
      <w:r>
        <w:rPr>
          <w:b/>
          <w:bCs/>
          <w:sz w:val="28"/>
        </w:rPr>
      </w:r>
    </w:p>
    <w:p>
      <w:pPr>
        <w:pStyle w:val="BodyText"/>
        <w:rPr/>
      </w:pPr>
      <w:r>
        <w:rPr/>
        <w:drawing>
          <wp:inline distT="0" distB="0" distL="0" distR="0">
            <wp:extent cx="3708400" cy="620395"/>
            <wp:effectExtent l="0" t="0" r="0" b="0"/>
            <wp:docPr id="91" name="Image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90" descr="" title=""/>
                    <pic:cNvPicPr>
                      <a:picLocks noChangeAspect="1" noChangeArrowheads="1"/>
                    </pic:cNvPicPr>
                  </pic:nvPicPr>
                  <pic:blipFill>
                    <a:blip r:embed="rId11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RFQ templates do not often provide all the space necessary to describe the details of the requirements.  A clipboard that provides blank space for this information is a valuable asset to describe precise RFQs.</w:t>
      </w:r>
    </w:p>
    <w:p>
      <w:pPr>
        <w:pStyle w:val="BodyText"/>
        <w:rPr/>
      </w:pPr>
      <w:r>
        <w:rPr/>
      </w:r>
    </w:p>
    <w:p>
      <w:pPr>
        <w:pStyle w:val="BodyText"/>
        <w:rPr/>
      </w:pPr>
      <w:r>
        <w:rPr/>
      </w:r>
    </w:p>
    <w:p>
      <w:pPr>
        <w:pStyle w:val="BodyText"/>
        <w:rPr>
          <w:b/>
          <w:bCs/>
          <w:sz w:val="28"/>
        </w:rPr>
      </w:pPr>
      <w:r>
        <w:rPr>
          <w:b/>
          <w:bCs/>
          <w:sz w:val="28"/>
        </w:rPr>
        <w:t>Accuracy of Tax and Freight</w:t>
      </w:r>
    </w:p>
    <w:p>
      <w:pPr>
        <w:pStyle w:val="BodyText"/>
        <w:rPr>
          <w:b/>
          <w:bCs/>
          <w:sz w:val="28"/>
        </w:rPr>
      </w:pPr>
      <w:r>
        <w:rPr>
          <w:b/>
          <w:bCs/>
          <w:sz w:val="28"/>
        </w:rPr>
      </w:r>
    </w:p>
    <w:p>
      <w:pPr>
        <w:pStyle w:val="BodyText"/>
        <w:rPr/>
      </w:pPr>
      <w:r>
        <w:rPr/>
        <w:drawing>
          <wp:inline distT="0" distB="0" distL="0" distR="0">
            <wp:extent cx="3708400" cy="620395"/>
            <wp:effectExtent l="0" t="0" r="0" b="0"/>
            <wp:docPr id="92" name="Image9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1" descr="" title=""/>
                    <pic:cNvPicPr>
                      <a:picLocks noChangeAspect="1" noChangeArrowheads="1"/>
                    </pic:cNvPicPr>
                  </pic:nvPicPr>
                  <pic:blipFill>
                    <a:blip r:embed="rId11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be made aware of the total cost of the requisition including exact price of freight and tax for each product and bill of material.</w:t>
      </w:r>
    </w:p>
    <w:p>
      <w:pPr>
        <w:pStyle w:val="BodyText"/>
        <w:rPr/>
      </w:pPr>
      <w:r>
        <w:rPr/>
      </w:r>
    </w:p>
    <w:p>
      <w:pPr>
        <w:pStyle w:val="BodyText"/>
        <w:rPr/>
      </w:pPr>
      <w:r>
        <w:rPr/>
      </w:r>
    </w:p>
    <w:p>
      <w:pPr>
        <w:pStyle w:val="BodyText"/>
        <w:rPr>
          <w:b/>
          <w:bCs/>
          <w:sz w:val="28"/>
        </w:rPr>
      </w:pPr>
      <w:r>
        <w:rPr>
          <w:b/>
          <w:bCs/>
          <w:sz w:val="28"/>
        </w:rPr>
        <w:t>Multiple Approval Levels</w:t>
      </w:r>
    </w:p>
    <w:p>
      <w:pPr>
        <w:pStyle w:val="BodyText"/>
        <w:rPr>
          <w:b/>
          <w:bCs/>
          <w:sz w:val="28"/>
        </w:rPr>
      </w:pPr>
      <w:r>
        <w:rPr>
          <w:b/>
          <w:bCs/>
          <w:sz w:val="28"/>
        </w:rPr>
      </w:r>
    </w:p>
    <w:p>
      <w:pPr>
        <w:pStyle w:val="BodyText"/>
        <w:rPr/>
      </w:pPr>
      <w:r>
        <w:rPr/>
        <w:object w:dxaOrig="3841" w:dyaOrig="631">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292.1pt;height:48.05pt" filled="f" o:ole="">
            <v:imagedata r:id="rId121" o:title=""/>
          </v:shape>
          <o:OLEObject Type="Embed" ProgID="" ShapeID="ole_rId120" DrawAspect="Content" ObjectID="_2146656356" r:id="rId120"/>
        </w:object>
      </w:r>
    </w:p>
    <w:p>
      <w:pPr>
        <w:pStyle w:val="BodyText"/>
        <w:rPr/>
      </w:pPr>
      <w:r>
        <w:rPr/>
      </w:r>
    </w:p>
    <w:p>
      <w:pPr>
        <w:pStyle w:val="BodyText"/>
        <w:rPr/>
      </w:pPr>
      <w:r>
        <w:rPr/>
        <w:t>Professional buyers typically have spending limits.  For requisitions that supersede such limits, different approval levels or chain of command need to be addressed.  The system must account, if possible, for that.</w:t>
      </w:r>
    </w:p>
    <w:p>
      <w:pPr>
        <w:pStyle w:val="BodyText"/>
        <w:rPr/>
      </w:pPr>
      <w:r>
        <w:rPr/>
      </w:r>
    </w:p>
    <w:p>
      <w:pPr>
        <w:pStyle w:val="BodyText"/>
        <w:rPr>
          <w:b/>
          <w:bCs/>
          <w:sz w:val="28"/>
        </w:rPr>
      </w:pPr>
      <w:r>
        <w:rPr>
          <w:b/>
          <w:bCs/>
          <w:sz w:val="28"/>
        </w:rPr>
        <w:t>Approval Delegation</w:t>
      </w:r>
    </w:p>
    <w:p>
      <w:pPr>
        <w:pStyle w:val="BodyText"/>
        <w:rPr>
          <w:b/>
          <w:bCs/>
          <w:sz w:val="28"/>
        </w:rPr>
      </w:pPr>
      <w:r>
        <w:rPr>
          <w:b/>
          <w:bCs/>
          <w:sz w:val="28"/>
        </w:rPr>
      </w:r>
    </w:p>
    <w:p>
      <w:pPr>
        <w:pStyle w:val="BodyText"/>
        <w:rPr/>
      </w:pPr>
      <w:r>
        <w:rPr/>
        <w:object w:dxaOrig="3841" w:dyaOrig="631">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92.1pt;height:48.05pt" filled="f" o:ole="">
            <v:imagedata r:id="rId123" o:title=""/>
          </v:shape>
          <o:OLEObject Type="Embed" ProgID="" ShapeID="ole_rId122" DrawAspect="Content" ObjectID="_1207891774" r:id="rId122"/>
        </w:object>
      </w:r>
    </w:p>
    <w:p>
      <w:pPr>
        <w:pStyle w:val="BodyText"/>
        <w:rPr/>
      </w:pPr>
      <w:r>
        <w:rPr/>
      </w:r>
    </w:p>
    <w:p>
      <w:pPr>
        <w:pStyle w:val="BodyText"/>
        <w:rPr/>
      </w:pPr>
      <w:r>
        <w:rPr/>
        <w:t>If for some reason or another (e.g. vacation) a buyer needs to hand the reigns over to another qualified individual to complete the RFQ transaction, the system should allow this feature.</w:t>
      </w:r>
    </w:p>
    <w:p>
      <w:pPr>
        <w:pStyle w:val="BodyText"/>
        <w:rPr/>
      </w:pPr>
      <w:r>
        <w:rPr/>
      </w:r>
    </w:p>
    <w:p>
      <w:pPr>
        <w:pStyle w:val="BodyText"/>
        <w:rPr/>
      </w:pPr>
      <w:r>
        <w:rPr/>
      </w:r>
    </w:p>
    <w:p>
      <w:pPr>
        <w:pStyle w:val="BodyText"/>
        <w:rPr>
          <w:b/>
          <w:bCs/>
          <w:sz w:val="28"/>
        </w:rPr>
      </w:pPr>
      <w:r>
        <w:rPr>
          <w:b/>
          <w:bCs/>
          <w:sz w:val="28"/>
        </w:rPr>
        <w:t>Ability to Exclude Foreign Bidders</w:t>
      </w:r>
    </w:p>
    <w:p>
      <w:pPr>
        <w:pStyle w:val="BodyText"/>
        <w:rPr>
          <w:b/>
          <w:bCs/>
          <w:sz w:val="28"/>
        </w:rPr>
      </w:pPr>
      <w:r>
        <w:rPr>
          <w:b/>
          <w:bCs/>
          <w:sz w:val="28"/>
        </w:rPr>
      </w:r>
    </w:p>
    <w:p>
      <w:pPr>
        <w:pStyle w:val="BodyText"/>
        <w:rPr/>
      </w:pPr>
      <w:r>
        <w:rPr/>
        <w:object w:dxaOrig="3841" w:dyaOrig="631">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92.1pt;height:48.05pt" filled="f" o:ole="">
            <v:imagedata r:id="rId125" o:title=""/>
          </v:shape>
          <o:OLEObject Type="Embed" ProgID="" ShapeID="ole_rId124" DrawAspect="Content" ObjectID="_1639111530" r:id="rId124"/>
        </w:object>
      </w:r>
    </w:p>
    <w:p>
      <w:pPr>
        <w:pStyle w:val="BodyText"/>
        <w:rPr/>
      </w:pPr>
      <w:r>
        <w:rPr/>
      </w:r>
    </w:p>
    <w:p>
      <w:pPr>
        <w:pStyle w:val="BodyText"/>
        <w:rPr/>
      </w:pPr>
      <w:r>
        <w:rPr/>
        <w:t>If a bidder does not want to deal with a bidder from another country for whatever reason, he or she should be allowed to remove foreign bidders from the bidding process.</w:t>
      </w:r>
    </w:p>
    <w:p>
      <w:pPr>
        <w:pStyle w:val="BodyText"/>
        <w:rPr/>
      </w:pPr>
      <w:r>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Wireless Access</w:t>
      </w:r>
    </w:p>
    <w:p>
      <w:pPr>
        <w:pStyle w:val="BodyText"/>
        <w:rPr>
          <w:b/>
          <w:bCs/>
          <w:sz w:val="28"/>
        </w:rPr>
      </w:pPr>
      <w:r>
        <w:rPr>
          <w:b/>
          <w:bCs/>
          <w:sz w:val="28"/>
        </w:rPr>
      </w:r>
    </w:p>
    <w:p>
      <w:pPr>
        <w:pStyle w:val="BodyText"/>
        <w:rPr/>
      </w:pPr>
      <w:r>
        <w:rPr/>
        <w:object w:dxaOrig="3841" w:dyaOrig="631">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92.1pt;height:48.05pt" filled="f" o:ole="">
            <v:imagedata r:id="rId127" o:title=""/>
          </v:shape>
          <o:OLEObject Type="Embed" ProgID="" ShapeID="ole_rId126" DrawAspect="Content" ObjectID="_1309986715" r:id="rId126"/>
        </w:object>
      </w:r>
    </w:p>
    <w:p>
      <w:pPr>
        <w:pStyle w:val="BodyText"/>
        <w:rPr/>
      </w:pPr>
      <w:r>
        <w:rPr/>
      </w:r>
    </w:p>
    <w:p>
      <w:pPr>
        <w:pStyle w:val="BodyText"/>
        <w:rPr/>
      </w:pPr>
      <w:r>
        <w:rPr/>
        <w:t>Buyers on the move may want to monitor the progress of their open RFQs, change their preferences or set up a RFQ on the fly while they are at the beach.  The site should be accessible via wireless hardware such as cellular phones and PDAs.</w:t>
      </w:r>
    </w:p>
    <w:p>
      <w:pPr>
        <w:pStyle w:val="BodyText"/>
        <w:rPr/>
      </w:pPr>
      <w:r>
        <w:rPr/>
      </w:r>
    </w:p>
    <w:p>
      <w:pPr>
        <w:pStyle w:val="BodyText"/>
        <w:rPr/>
      </w:pPr>
      <w:r>
        <w:rPr/>
      </w:r>
    </w:p>
    <w:p>
      <w:pPr>
        <w:pStyle w:val="BodyText"/>
        <w:rPr>
          <w:b/>
          <w:bCs/>
          <w:sz w:val="28"/>
        </w:rPr>
      </w:pPr>
      <w:r>
        <w:rPr>
          <w:b/>
          <w:bCs/>
          <w:sz w:val="28"/>
        </w:rPr>
        <w:t>My Account</w:t>
      </w:r>
    </w:p>
    <w:p>
      <w:pPr>
        <w:pStyle w:val="BodyText"/>
        <w:rPr>
          <w:b/>
          <w:bCs/>
          <w:sz w:val="28"/>
        </w:rPr>
      </w:pPr>
      <w:r>
        <w:rPr>
          <w:b/>
          <w:bCs/>
          <w:sz w:val="28"/>
        </w:rPr>
      </w:r>
    </w:p>
    <w:p>
      <w:pPr>
        <w:pStyle w:val="BodyText"/>
        <w:rPr/>
      </w:pPr>
      <w:r>
        <w:rPr/>
        <w:drawing>
          <wp:inline distT="0" distB="0" distL="0" distR="0">
            <wp:extent cx="3708400" cy="620395"/>
            <wp:effectExtent l="0" t="0" r="0" b="0"/>
            <wp:docPr id="93" name="Image9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92" descr="" title=""/>
                    <pic:cNvPicPr>
                      <a:picLocks noChangeAspect="1" noChangeArrowheads="1"/>
                    </pic:cNvPicPr>
                  </pic:nvPicPr>
                  <pic:blipFill>
                    <a:blip r:embed="rId12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personal account should be made available to each unique buyer.  This account will not only provide historical logs and demographic information, but also a list of open Pos and open RFQs.</w:t>
      </w:r>
    </w:p>
    <w:p>
      <w:pPr>
        <w:pStyle w:val="BodyText"/>
        <w:rPr/>
      </w:pPr>
      <w:r>
        <w:rPr/>
      </w:r>
    </w:p>
    <w:p>
      <w:pPr>
        <w:pStyle w:val="BodyText"/>
        <w:rPr>
          <w:b/>
          <w:bCs/>
          <w:sz w:val="28"/>
        </w:rPr>
      </w:pPr>
      <w:r>
        <w:rPr>
          <w:b/>
          <w:bCs/>
          <w:sz w:val="28"/>
        </w:rPr>
      </w:r>
    </w:p>
    <w:p>
      <w:pPr>
        <w:pStyle w:val="BodyText"/>
        <w:rPr>
          <w:b/>
          <w:bCs/>
          <w:sz w:val="28"/>
        </w:rPr>
      </w:pPr>
      <w:r>
        <w:rPr>
          <w:b/>
          <w:bCs/>
          <w:sz w:val="28"/>
        </w:rPr>
        <w:t>Unique Identifier</w:t>
      </w:r>
    </w:p>
    <w:p>
      <w:pPr>
        <w:pStyle w:val="BodyText"/>
        <w:rPr>
          <w:b/>
          <w:bCs/>
          <w:sz w:val="28"/>
        </w:rPr>
      </w:pPr>
      <w:r>
        <w:rPr>
          <w:b/>
          <w:bCs/>
          <w:sz w:val="28"/>
        </w:rPr>
      </w:r>
    </w:p>
    <w:p>
      <w:pPr>
        <w:pStyle w:val="BodyText"/>
        <w:rPr/>
      </w:pPr>
      <w:r>
        <w:rPr/>
        <w:drawing>
          <wp:inline distT="0" distB="0" distL="0" distR="0">
            <wp:extent cx="3708400" cy="620395"/>
            <wp:effectExtent l="0" t="0" r="0" b="0"/>
            <wp:docPr id="94" name="Image9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3" descr="" title=""/>
                    <pic:cNvPicPr>
                      <a:picLocks noChangeAspect="1" noChangeArrowheads="1"/>
                    </pic:cNvPicPr>
                  </pic:nvPicPr>
                  <pic:blipFill>
                    <a:blip r:embed="rId12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Just as each seller, each individual buyer has his or her unique identifier with a unique ID and password.</w:t>
      </w:r>
    </w:p>
    <w:p>
      <w:pPr>
        <w:pStyle w:val="BodyText"/>
        <w:rPr>
          <w:b/>
          <w:bCs/>
          <w:sz w:val="28"/>
        </w:rPr>
      </w:pPr>
      <w:r>
        <w:rPr>
          <w:b/>
          <w:bCs/>
          <w:sz w:val="28"/>
        </w:rPr>
        <w:t>Shipment Tracking</w:t>
      </w:r>
    </w:p>
    <w:p>
      <w:pPr>
        <w:pStyle w:val="BodyText"/>
        <w:rPr>
          <w:b/>
          <w:bCs/>
          <w:sz w:val="28"/>
        </w:rPr>
      </w:pPr>
      <w:r>
        <w:rPr>
          <w:b/>
          <w:bCs/>
          <w:sz w:val="28"/>
        </w:rPr>
      </w:r>
    </w:p>
    <w:p>
      <w:pPr>
        <w:pStyle w:val="BodyText"/>
        <w:rPr/>
      </w:pPr>
      <w:r>
        <w:rPr/>
        <w:drawing>
          <wp:inline distT="0" distB="0" distL="0" distR="0">
            <wp:extent cx="3708400" cy="620395"/>
            <wp:effectExtent l="0" t="0" r="0" b="0"/>
            <wp:docPr id="95" name="Image9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4" descr="" title=""/>
                    <pic:cNvPicPr>
                      <a:picLocks noChangeAspect="1" noChangeArrowheads="1"/>
                    </pic:cNvPicPr>
                  </pic:nvPicPr>
                  <pic:blipFill>
                    <a:blip r:embed="rId13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know where their goods are.  A third-party provider link into the fulfillment function will provide shipment tracking numbers and status online via the site.</w:t>
      </w:r>
    </w:p>
    <w:p>
      <w:pPr>
        <w:pStyle w:val="BodyText"/>
        <w:rPr/>
      </w:pPr>
      <w:r>
        <w:rPr/>
      </w:r>
    </w:p>
    <w:p>
      <w:pPr>
        <w:pStyle w:val="BodyText"/>
        <w:rPr/>
      </w:pPr>
      <w:r>
        <w:rPr/>
      </w:r>
    </w:p>
    <w:p>
      <w:pPr>
        <w:pStyle w:val="BodyText"/>
        <w:rPr>
          <w:b/>
          <w:bCs/>
          <w:sz w:val="28"/>
        </w:rPr>
      </w:pPr>
      <w:r>
        <w:rPr>
          <w:b/>
          <w:bCs/>
          <w:sz w:val="28"/>
        </w:rPr>
        <w:t>Buyer FAQ</w:t>
      </w:r>
    </w:p>
    <w:p>
      <w:pPr>
        <w:pStyle w:val="BodyText"/>
        <w:rPr>
          <w:b/>
          <w:bCs/>
          <w:sz w:val="28"/>
        </w:rPr>
      </w:pPr>
      <w:r>
        <w:rPr>
          <w:b/>
          <w:bCs/>
          <w:sz w:val="28"/>
        </w:rPr>
      </w:r>
    </w:p>
    <w:p>
      <w:pPr>
        <w:pStyle w:val="BodyText"/>
        <w:rPr/>
      </w:pPr>
      <w:r>
        <w:rPr/>
        <w:drawing>
          <wp:inline distT="0" distB="0" distL="0" distR="0">
            <wp:extent cx="3708400" cy="666750"/>
            <wp:effectExtent l="0" t="0" r="0" b="0"/>
            <wp:docPr id="96" name="Image9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5" descr="" title=""/>
                    <pic:cNvPicPr>
                      <a:picLocks noChangeAspect="1" noChangeArrowheads="1"/>
                    </pic:cNvPicPr>
                  </pic:nvPicPr>
                  <pic:blipFill>
                    <a:blip r:embed="rId131"/>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buyer may have questions that need an answer before he proceeds.  A FAQ section made available at least on the Home page should be made obvious to help the buyer in his decision making process.</w:t>
      </w:r>
    </w:p>
    <w:p>
      <w:pPr>
        <w:pStyle w:val="BodyText"/>
        <w:rPr/>
      </w:pPr>
      <w:r>
        <w:rPr/>
      </w:r>
    </w:p>
    <w:p>
      <w:pPr>
        <w:pStyle w:val="BodyText"/>
        <w:rPr/>
      </w:pPr>
      <w:r>
        <w:rPr/>
      </w:r>
    </w:p>
    <w:p>
      <w:pPr>
        <w:pStyle w:val="BodyText"/>
        <w:rPr>
          <w:b/>
          <w:bCs/>
          <w:sz w:val="28"/>
        </w:rPr>
      </w:pPr>
      <w:r>
        <w:rPr>
          <w:b/>
          <w:bCs/>
          <w:sz w:val="28"/>
        </w:rPr>
        <w:t>Demo</w:t>
      </w:r>
    </w:p>
    <w:p>
      <w:pPr>
        <w:pStyle w:val="BodyText"/>
        <w:rPr>
          <w:b/>
          <w:bCs/>
          <w:sz w:val="28"/>
        </w:rPr>
      </w:pPr>
      <w:r>
        <w:rPr>
          <w:b/>
          <w:bCs/>
          <w:sz w:val="28"/>
        </w:rPr>
      </w:r>
    </w:p>
    <w:p>
      <w:pPr>
        <w:pStyle w:val="BodyText"/>
        <w:rPr/>
      </w:pPr>
      <w:r>
        <w:rPr/>
        <w:drawing>
          <wp:inline distT="0" distB="0" distL="0" distR="0">
            <wp:extent cx="3708400" cy="620395"/>
            <wp:effectExtent l="0" t="0" r="0" b="0"/>
            <wp:docPr id="97" name="Image9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6" descr="" title=""/>
                    <pic:cNvPicPr>
                      <a:picLocks noChangeAspect="1" noChangeArrowheads="1"/>
                    </pic:cNvPicPr>
                  </pic:nvPicPr>
                  <pic:blipFill>
                    <a:blip r:embed="rId13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see how the system works before they invest their time and energy in testing it.  Therefore, a demo would be a valuable feature on the home page.</w:t>
      </w:r>
    </w:p>
    <w:p>
      <w:pPr>
        <w:pStyle w:val="BodyText"/>
        <w:rPr>
          <w:b/>
          <w:bCs/>
          <w:sz w:val="28"/>
        </w:rPr>
      </w:pPr>
      <w:r>
        <w:rPr>
          <w:b/>
          <w:bCs/>
          <w:sz w:val="28"/>
        </w:rPr>
        <w:t>Supplier Reputation Ratings</w:t>
      </w:r>
    </w:p>
    <w:p>
      <w:pPr>
        <w:pStyle w:val="BodyText"/>
        <w:rPr>
          <w:b/>
          <w:bCs/>
          <w:sz w:val="28"/>
        </w:rPr>
      </w:pPr>
      <w:r>
        <w:rPr>
          <w:b/>
          <w:bCs/>
          <w:sz w:val="28"/>
        </w:rPr>
      </w:r>
    </w:p>
    <w:p>
      <w:pPr>
        <w:pStyle w:val="BodyText"/>
        <w:rPr/>
      </w:pPr>
      <w:r>
        <w:rPr/>
        <w:drawing>
          <wp:inline distT="0" distB="0" distL="0" distR="0">
            <wp:extent cx="3708400" cy="620395"/>
            <wp:effectExtent l="0" t="0" r="0" b="0"/>
            <wp:docPr id="98" name="Image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7" descr="" title=""/>
                    <pic:cNvPicPr>
                      <a:picLocks noChangeAspect="1" noChangeArrowheads="1"/>
                    </pic:cNvPicPr>
                  </pic:nvPicPr>
                  <pic:blipFill>
                    <a:blip r:embed="rId13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want to know whom they are dealing with.  The reputation of suppliers can be syndicated at first but will be refined as performance assessments are logged into the database.</w:t>
      </w:r>
    </w:p>
    <w:p>
      <w:pPr>
        <w:pStyle w:val="BodyText"/>
        <w:rPr/>
      </w:pPr>
      <w:r>
        <w:rPr/>
      </w:r>
    </w:p>
    <w:p>
      <w:pPr>
        <w:pStyle w:val="BodyText"/>
        <w:rPr/>
      </w:pPr>
      <w:r>
        <w:rPr/>
      </w:r>
    </w:p>
    <w:p>
      <w:pPr>
        <w:pStyle w:val="BodyText"/>
        <w:rPr>
          <w:b/>
          <w:bCs/>
          <w:sz w:val="28"/>
        </w:rPr>
      </w:pPr>
      <w:r>
        <w:rPr>
          <w:b/>
          <w:bCs/>
          <w:sz w:val="28"/>
        </w:rPr>
        <w:t>Demographics Capture</w:t>
      </w:r>
    </w:p>
    <w:p>
      <w:pPr>
        <w:pStyle w:val="BodyText"/>
        <w:rPr>
          <w:b/>
          <w:bCs/>
          <w:sz w:val="28"/>
        </w:rPr>
      </w:pPr>
      <w:r>
        <w:rPr>
          <w:b/>
          <w:bCs/>
          <w:sz w:val="28"/>
        </w:rPr>
      </w:r>
    </w:p>
    <w:p>
      <w:pPr>
        <w:pStyle w:val="BodyText"/>
        <w:rPr/>
      </w:pPr>
      <w:r>
        <w:rPr/>
        <w:drawing>
          <wp:inline distT="0" distB="0" distL="0" distR="0">
            <wp:extent cx="3708400" cy="620395"/>
            <wp:effectExtent l="0" t="0" r="0" b="0"/>
            <wp:docPr id="99" name="Image9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8" descr="" title=""/>
                    <pic:cNvPicPr>
                      <a:picLocks noChangeAspect="1" noChangeArrowheads="1"/>
                    </pic:cNvPicPr>
                  </pic:nvPicPr>
                  <pic:blipFill>
                    <a:blip r:embed="rId13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b/>
          <w:bCs/>
          <w:sz w:val="28"/>
        </w:rPr>
      </w:pPr>
      <w:r>
        <w:rPr/>
        <w:t>It is imperative that the construction of the database allows for the capture of demographics and perhaps psychographics.</w:t>
      </w:r>
    </w:p>
    <w:p>
      <w:pPr>
        <w:pStyle w:val="BodyText"/>
        <w:rPr>
          <w:b/>
          <w:bCs/>
          <w:sz w:val="28"/>
        </w:rPr>
      </w:pPr>
      <w:r>
        <w:rPr>
          <w:b/>
          <w:bCs/>
          <w:sz w:val="28"/>
        </w:rPr>
      </w:r>
    </w:p>
    <w:p>
      <w:pPr>
        <w:pStyle w:val="BodyText"/>
        <w:rPr>
          <w:b/>
          <w:bCs/>
          <w:sz w:val="28"/>
        </w:rPr>
      </w:pPr>
      <w:r>
        <w:rPr>
          <w:b/>
          <w:bCs/>
          <w:sz w:val="28"/>
        </w:rPr>
      </w:r>
    </w:p>
    <w:p>
      <w:pPr>
        <w:pStyle w:val="BodyText"/>
        <w:rPr>
          <w:b/>
          <w:bCs/>
          <w:sz w:val="28"/>
        </w:rPr>
      </w:pPr>
      <w:r>
        <w:rPr>
          <w:b/>
          <w:bCs/>
          <w:sz w:val="28"/>
        </w:rPr>
        <w:t>Process guide</w:t>
      </w:r>
    </w:p>
    <w:p>
      <w:pPr>
        <w:pStyle w:val="BodyText"/>
        <w:rPr>
          <w:b/>
          <w:bCs/>
          <w:sz w:val="28"/>
        </w:rPr>
      </w:pPr>
      <w:r>
        <w:rPr>
          <w:b/>
          <w:bCs/>
          <w:sz w:val="28"/>
        </w:rPr>
      </w:r>
    </w:p>
    <w:p>
      <w:pPr>
        <w:pStyle w:val="BodyText"/>
        <w:rPr/>
      </w:pPr>
      <w:r>
        <w:rPr/>
        <w:drawing>
          <wp:inline distT="0" distB="0" distL="0" distR="0">
            <wp:extent cx="3708400" cy="620395"/>
            <wp:effectExtent l="0" t="0" r="0" b="0"/>
            <wp:docPr id="100" name="Image9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99" descr="" title=""/>
                    <pic:cNvPicPr>
                      <a:picLocks noChangeAspect="1" noChangeArrowheads="1"/>
                    </pic:cNvPicPr>
                  </pic:nvPicPr>
                  <pic:blipFill>
                    <a:blip r:embed="rId13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It is important to have a process guide feature available for the buyer as reference so they understand how the system works.</w:t>
      </w:r>
    </w:p>
    <w:p>
      <w:pPr>
        <w:pStyle w:val="BodyText"/>
        <w:rPr/>
      </w:pPr>
      <w:r>
        <w:rPr/>
      </w:r>
    </w:p>
    <w:p>
      <w:pPr>
        <w:pStyle w:val="BodyText"/>
        <w:rPr/>
      </w:pPr>
      <w:r>
        <w:rPr/>
      </w:r>
    </w:p>
    <w:p>
      <w:pPr>
        <w:pStyle w:val="BodyText"/>
        <w:rPr>
          <w:b/>
          <w:bCs/>
          <w:sz w:val="28"/>
        </w:rPr>
      </w:pPr>
      <w:r>
        <w:rPr>
          <w:b/>
          <w:bCs/>
          <w:sz w:val="28"/>
        </w:rPr>
        <w:t>Preferences Simulation</w:t>
      </w:r>
    </w:p>
    <w:p>
      <w:pPr>
        <w:pStyle w:val="BodyText"/>
        <w:rPr>
          <w:b/>
          <w:bCs/>
          <w:sz w:val="28"/>
        </w:rPr>
      </w:pPr>
      <w:r>
        <w:rPr>
          <w:b/>
          <w:bCs/>
          <w:sz w:val="28"/>
        </w:rPr>
      </w:r>
    </w:p>
    <w:p>
      <w:pPr>
        <w:pStyle w:val="BodyText"/>
        <w:rPr/>
      </w:pPr>
      <w:r>
        <w:rPr/>
        <w:object w:dxaOrig="3841" w:dyaOrig="631">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92.1pt;height:48.05pt" filled="f" o:ole="">
            <v:imagedata r:id="rId137" o:title=""/>
          </v:shape>
          <o:OLEObject Type="Embed" ProgID="" ShapeID="ole_rId136" DrawAspect="Content" ObjectID="_1266602259" r:id="rId136"/>
        </w:object>
      </w:r>
    </w:p>
    <w:p>
      <w:pPr>
        <w:pStyle w:val="BodyText"/>
        <w:rPr/>
      </w:pPr>
      <w:r>
        <w:rPr/>
      </w:r>
    </w:p>
    <w:p>
      <w:pPr>
        <w:pStyle w:val="BodyText"/>
        <w:rPr/>
      </w:pPr>
      <w:r>
        <w:rPr/>
        <w:t>A preferences simulation engine would greatly benefit the buyer in making him or her understand how differences in preferences affect the results.</w:t>
      </w:r>
    </w:p>
    <w:p>
      <w:pPr>
        <w:pStyle w:val="BodyText"/>
        <w:rPr/>
      </w:pPr>
      <w:r>
        <w:rPr/>
      </w:r>
    </w:p>
    <w:p>
      <w:pPr>
        <w:pStyle w:val="BodyText"/>
        <w:rPr/>
      </w:pPr>
      <w:r>
        <w:rPr/>
      </w:r>
    </w:p>
    <w:p>
      <w:pPr>
        <w:pStyle w:val="BodyText"/>
        <w:rPr>
          <w:b/>
          <w:bCs/>
          <w:sz w:val="28"/>
        </w:rPr>
      </w:pPr>
      <w:r>
        <w:rPr>
          <w:b/>
          <w:bCs/>
          <w:sz w:val="28"/>
        </w:rPr>
        <w:t>Substitutes</w:t>
      </w:r>
    </w:p>
    <w:p>
      <w:pPr>
        <w:pStyle w:val="BodyText"/>
        <w:rPr>
          <w:b/>
          <w:bCs/>
          <w:sz w:val="28"/>
        </w:rPr>
      </w:pPr>
      <w:r>
        <w:rPr>
          <w:b/>
          <w:bCs/>
          <w:sz w:val="28"/>
        </w:rPr>
      </w:r>
    </w:p>
    <w:p>
      <w:pPr>
        <w:pStyle w:val="BodyText"/>
        <w:rPr/>
      </w:pPr>
      <w:r>
        <w:rPr/>
        <w:drawing>
          <wp:inline distT="0" distB="0" distL="0" distR="0">
            <wp:extent cx="3708400" cy="620395"/>
            <wp:effectExtent l="0" t="0" r="0" b="0"/>
            <wp:docPr id="101" name="Image1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00" descr="" title=""/>
                    <pic:cNvPicPr>
                      <a:picLocks noChangeAspect="1" noChangeArrowheads="1"/>
                    </pic:cNvPicPr>
                  </pic:nvPicPr>
                  <pic:blipFill>
                    <a:blip r:embed="rId13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In the B2B world, products and services can become very complex.  The more complex they are, the higher the likelihood that there exist no supplier that can meet all requirements.  The buyer may choose to enable an option that will accept substitute products.  The system needs to evaluate these separately from the other offers.</w:t>
      </w:r>
    </w:p>
    <w:p>
      <w:pPr>
        <w:pStyle w:val="BodyText"/>
        <w:rPr/>
      </w:pPr>
      <w:r>
        <w:rPr/>
      </w:r>
    </w:p>
    <w:p>
      <w:pPr>
        <w:pStyle w:val="BodyText"/>
        <w:rPr/>
      </w:pPr>
      <w:r>
        <w:rPr/>
      </w:r>
    </w:p>
    <w:p>
      <w:pPr>
        <w:pStyle w:val="BodyText"/>
        <w:rPr>
          <w:b/>
          <w:bCs/>
          <w:sz w:val="28"/>
        </w:rPr>
      </w:pPr>
      <w:r>
        <w:rPr>
          <w:b/>
          <w:bCs/>
          <w:sz w:val="28"/>
        </w:rPr>
        <w:t>Contract Bids</w:t>
      </w:r>
    </w:p>
    <w:p>
      <w:pPr>
        <w:pStyle w:val="BodyText"/>
        <w:rPr>
          <w:b/>
          <w:bCs/>
          <w:sz w:val="28"/>
        </w:rPr>
      </w:pPr>
      <w:r>
        <w:rPr>
          <w:b/>
          <w:bCs/>
          <w:sz w:val="28"/>
        </w:rPr>
      </w:r>
    </w:p>
    <w:p>
      <w:pPr>
        <w:pStyle w:val="BodyText"/>
        <w:rPr/>
      </w:pPr>
      <w:r>
        <w:rPr/>
        <w:drawing>
          <wp:inline distT="0" distB="0" distL="0" distR="0">
            <wp:extent cx="3708400" cy="620395"/>
            <wp:effectExtent l="0" t="0" r="0" b="0"/>
            <wp:docPr id="102" name="Image1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1" descr="" title=""/>
                    <pic:cNvPicPr>
                      <a:picLocks noChangeAspect="1" noChangeArrowheads="1"/>
                    </pic:cNvPicPr>
                  </pic:nvPicPr>
                  <pic:blipFill>
                    <a:blip r:embed="rId13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Many requisitions are made for annual contracts.  The RFQ engine needs to accommodate this kind of request by tracking the transactions over time.</w:t>
      </w:r>
    </w:p>
    <w:p>
      <w:pPr>
        <w:pStyle w:val="BodyText"/>
        <w:rPr>
          <w:b/>
          <w:bCs/>
          <w:sz w:val="28"/>
        </w:rPr>
      </w:pPr>
      <w:r>
        <w:rPr>
          <w:b/>
          <w:bCs/>
          <w:sz w:val="28"/>
        </w:rPr>
        <w:t>Disclosure Options</w:t>
      </w:r>
    </w:p>
    <w:p>
      <w:pPr>
        <w:pStyle w:val="BodyText"/>
        <w:rPr>
          <w:b/>
          <w:bCs/>
          <w:sz w:val="28"/>
        </w:rPr>
      </w:pPr>
      <w:r>
        <w:rPr>
          <w:b/>
          <w:bCs/>
          <w:sz w:val="28"/>
        </w:rPr>
      </w:r>
    </w:p>
    <w:p>
      <w:pPr>
        <w:pStyle w:val="BodyText"/>
        <w:rPr/>
      </w:pPr>
      <w:r>
        <w:rPr/>
        <w:drawing>
          <wp:inline distT="0" distB="0" distL="0" distR="0">
            <wp:extent cx="3708400" cy="666750"/>
            <wp:effectExtent l="0" t="0" r="0" b="0"/>
            <wp:docPr id="103" name="Image1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02" descr="" title=""/>
                    <pic:cNvPicPr>
                      <a:picLocks noChangeAspect="1" noChangeArrowheads="1"/>
                    </pic:cNvPicPr>
                  </pic:nvPicPr>
                  <pic:blipFill>
                    <a:blip r:embed="rId140"/>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The buyer may choose to select the non-disclosure option whereby the name of the suppliers are not revealed on the scoring page as to not affect their decision.</w:t>
      </w:r>
    </w:p>
    <w:p>
      <w:pPr>
        <w:pStyle w:val="BodyText"/>
        <w:rPr/>
      </w:pPr>
      <w:r>
        <w:rPr/>
      </w:r>
    </w:p>
    <w:p>
      <w:pPr>
        <w:pStyle w:val="BodyText"/>
        <w:rPr/>
      </w:pPr>
      <w:r>
        <w:rPr/>
      </w:r>
    </w:p>
    <w:p>
      <w:pPr>
        <w:pStyle w:val="BodyText"/>
        <w:rPr>
          <w:b/>
          <w:bCs/>
          <w:sz w:val="28"/>
        </w:rPr>
      </w:pPr>
      <w:r>
        <w:rPr>
          <w:b/>
          <w:bCs/>
          <w:sz w:val="28"/>
        </w:rPr>
        <w:t>Digital Signatures</w:t>
      </w:r>
    </w:p>
    <w:p>
      <w:pPr>
        <w:pStyle w:val="BodyText"/>
        <w:rPr>
          <w:b/>
          <w:bCs/>
          <w:sz w:val="28"/>
        </w:rPr>
      </w:pPr>
      <w:r>
        <w:rPr>
          <w:b/>
          <w:bCs/>
          <w:sz w:val="28"/>
        </w:rPr>
      </w:r>
    </w:p>
    <w:p>
      <w:pPr>
        <w:pStyle w:val="BodyText"/>
        <w:rPr/>
      </w:pPr>
      <w:r>
        <w:rPr/>
        <w:drawing>
          <wp:inline distT="0" distB="0" distL="0" distR="0">
            <wp:extent cx="3708400" cy="666750"/>
            <wp:effectExtent l="0" t="0" r="0" b="0"/>
            <wp:docPr id="104" name="Image1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3" descr="" title=""/>
                    <pic:cNvPicPr>
                      <a:picLocks noChangeAspect="1" noChangeArrowheads="1"/>
                    </pic:cNvPicPr>
                  </pic:nvPicPr>
                  <pic:blipFill>
                    <a:blip r:embed="rId141"/>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Some vertical industries require signatures as an integral part of a formal bidding quotation process.  Digital signatures may suffice in many States.  The implementation of these as an option and an accompanying guide would open the doors to more buyers.</w:t>
      </w:r>
    </w:p>
    <w:p>
      <w:pPr>
        <w:pStyle w:val="BodyText"/>
        <w:rPr/>
      </w:pPr>
      <w:r>
        <w:rPr/>
      </w:r>
    </w:p>
    <w:p>
      <w:pPr>
        <w:pStyle w:val="BodyText"/>
        <w:rPr/>
      </w:pPr>
      <w:r>
        <w:rPr/>
      </w:r>
    </w:p>
    <w:p>
      <w:pPr>
        <w:pStyle w:val="BodyText"/>
        <w:rPr>
          <w:b/>
          <w:bCs/>
          <w:sz w:val="28"/>
        </w:rPr>
      </w:pPr>
      <w:r>
        <w:rPr>
          <w:b/>
          <w:bCs/>
          <w:sz w:val="28"/>
        </w:rPr>
        <w:t>RFQ Expiration</w:t>
      </w:r>
    </w:p>
    <w:p>
      <w:pPr>
        <w:pStyle w:val="BodyText"/>
        <w:rPr>
          <w:b/>
          <w:bCs/>
          <w:sz w:val="28"/>
        </w:rPr>
      </w:pPr>
      <w:r>
        <w:rPr>
          <w:b/>
          <w:bCs/>
          <w:sz w:val="28"/>
        </w:rPr>
      </w:r>
    </w:p>
    <w:p>
      <w:pPr>
        <w:pStyle w:val="BodyText"/>
        <w:rPr/>
      </w:pPr>
      <w:r>
        <w:rPr/>
        <w:drawing>
          <wp:inline distT="0" distB="0" distL="0" distR="0">
            <wp:extent cx="3708400" cy="620395"/>
            <wp:effectExtent l="0" t="0" r="0" b="0"/>
            <wp:docPr id="105" name="Image1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4" descr="" title=""/>
                    <pic:cNvPicPr>
                      <a:picLocks noChangeAspect="1" noChangeArrowheads="1"/>
                    </pic:cNvPicPr>
                  </pic:nvPicPr>
                  <pic:blipFill>
                    <a:blip r:embed="rId142"/>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Buyers may opt to activate an expiration date on their RFQ.  Suppliers must reply within the desired period to avoid disappointment. </w:t>
      </w:r>
    </w:p>
    <w:p>
      <w:pPr>
        <w:pStyle w:val="BodyText"/>
        <w:rPr/>
      </w:pPr>
      <w:r>
        <w:rPr/>
      </w:r>
    </w:p>
    <w:p>
      <w:pPr>
        <w:pStyle w:val="BodyText"/>
        <w:rPr>
          <w:b/>
          <w:bCs/>
          <w:sz w:val="28"/>
        </w:rPr>
      </w:pPr>
      <w:r>
        <w:rPr>
          <w:b/>
          <w:bCs/>
          <w:sz w:val="28"/>
        </w:rPr>
        <w:t>RFQ Announcement</w:t>
      </w:r>
    </w:p>
    <w:p>
      <w:pPr>
        <w:pStyle w:val="BodyText"/>
        <w:rPr>
          <w:b/>
          <w:bCs/>
          <w:sz w:val="28"/>
        </w:rPr>
      </w:pPr>
      <w:r>
        <w:rPr>
          <w:b/>
          <w:bCs/>
          <w:sz w:val="28"/>
        </w:rPr>
      </w:r>
    </w:p>
    <w:p>
      <w:pPr>
        <w:pStyle w:val="BodyText"/>
        <w:rPr/>
      </w:pPr>
      <w:r>
        <w:rPr/>
        <w:drawing>
          <wp:inline distT="0" distB="0" distL="0" distR="0">
            <wp:extent cx="3708400" cy="620395"/>
            <wp:effectExtent l="0" t="0" r="0" b="0"/>
            <wp:docPr id="106" name="Image1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5" descr="" title=""/>
                    <pic:cNvPicPr>
                      <a:picLocks noChangeAspect="1" noChangeArrowheads="1"/>
                    </pic:cNvPicPr>
                  </pic:nvPicPr>
                  <pic:blipFill>
                    <a:blip r:embed="rId143"/>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 xml:space="preserve">There needs to be a RFQ announcement mechanism so that suppliers are made aware of their existence.  </w:t>
      </w:r>
    </w:p>
    <w:p>
      <w:pPr>
        <w:pStyle w:val="BodyText"/>
        <w:rPr/>
      </w:pPr>
      <w:r>
        <w:rPr/>
      </w:r>
    </w:p>
    <w:p>
      <w:pPr>
        <w:pStyle w:val="BodyText"/>
        <w:rPr/>
      </w:pPr>
      <w:r>
        <w:rPr/>
      </w:r>
    </w:p>
    <w:p>
      <w:pPr>
        <w:pStyle w:val="BodyText"/>
        <w:rPr>
          <w:b/>
          <w:bCs/>
          <w:sz w:val="28"/>
        </w:rPr>
      </w:pPr>
      <w:r>
        <w:rPr>
          <w:b/>
          <w:bCs/>
          <w:sz w:val="28"/>
        </w:rPr>
        <w:t>Bundling Option</w:t>
      </w:r>
    </w:p>
    <w:p>
      <w:pPr>
        <w:pStyle w:val="BodyText"/>
        <w:rPr>
          <w:b/>
          <w:bCs/>
          <w:sz w:val="28"/>
        </w:rPr>
      </w:pPr>
      <w:r>
        <w:rPr>
          <w:b/>
          <w:bCs/>
          <w:sz w:val="28"/>
        </w:rPr>
      </w:r>
    </w:p>
    <w:p>
      <w:pPr>
        <w:pStyle w:val="BodyText"/>
        <w:rPr/>
      </w:pPr>
      <w:r>
        <w:rPr/>
        <w:drawing>
          <wp:inline distT="0" distB="0" distL="0" distR="0">
            <wp:extent cx="3708400" cy="620395"/>
            <wp:effectExtent l="0" t="0" r="0" b="0"/>
            <wp:docPr id="107" name="Image1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6" descr="" title=""/>
                    <pic:cNvPicPr>
                      <a:picLocks noChangeAspect="1" noChangeArrowheads="1"/>
                    </pic:cNvPicPr>
                  </pic:nvPicPr>
                  <pic:blipFill>
                    <a:blip r:embed="rId14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can select to evaluate the products of a bill of materials as a bundle.  Suppliers quote the price of the total bundle of products including freight and tax instead of individually.</w:t>
      </w:r>
    </w:p>
    <w:p>
      <w:pPr>
        <w:pStyle w:val="BodyText"/>
        <w:rPr/>
      </w:pPr>
      <w:r>
        <w:rPr/>
      </w:r>
    </w:p>
    <w:p>
      <w:pPr>
        <w:pStyle w:val="BodyText"/>
        <w:rPr/>
      </w:pPr>
      <w:r>
        <w:rPr/>
      </w:r>
    </w:p>
    <w:p>
      <w:pPr>
        <w:pStyle w:val="BodyText"/>
        <w:rPr>
          <w:b/>
          <w:bCs/>
          <w:sz w:val="28"/>
        </w:rPr>
      </w:pPr>
      <w:r>
        <w:rPr>
          <w:b/>
          <w:bCs/>
          <w:sz w:val="28"/>
        </w:rPr>
        <w:t>Status Tracking</w:t>
      </w:r>
    </w:p>
    <w:p>
      <w:pPr>
        <w:pStyle w:val="BodyText"/>
        <w:rPr>
          <w:b/>
          <w:bCs/>
          <w:sz w:val="28"/>
        </w:rPr>
      </w:pPr>
      <w:r>
        <w:rPr>
          <w:b/>
          <w:bCs/>
          <w:sz w:val="28"/>
        </w:rPr>
      </w:r>
    </w:p>
    <w:p>
      <w:pPr>
        <w:pStyle w:val="BodyText"/>
        <w:rPr/>
      </w:pPr>
      <w:r>
        <w:rPr/>
        <w:drawing>
          <wp:inline distT="0" distB="0" distL="0" distR="0">
            <wp:extent cx="3708400" cy="620395"/>
            <wp:effectExtent l="0" t="0" r="0" b="0"/>
            <wp:docPr id="108" name="Image1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7" descr="" title=""/>
                    <pic:cNvPicPr>
                      <a:picLocks noChangeAspect="1" noChangeArrowheads="1"/>
                    </pic:cNvPicPr>
                  </pic:nvPicPr>
                  <pic:blipFill>
                    <a:blip r:embed="rId145"/>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Winning bidders must provide buyers with the information regarding the status of their order.  This is especially important if the order is complex.</w:t>
      </w:r>
    </w:p>
    <w:p>
      <w:pPr>
        <w:pStyle w:val="BodyText"/>
        <w:rPr/>
      </w:pPr>
      <w:r>
        <w:rPr/>
      </w:r>
    </w:p>
    <w:p>
      <w:pPr>
        <w:pStyle w:val="BodyText"/>
        <w:rPr/>
      </w:pPr>
      <w:r>
        <w:rPr/>
      </w:r>
    </w:p>
    <w:p>
      <w:pPr>
        <w:pStyle w:val="BodyText"/>
        <w:rPr>
          <w:b/>
          <w:bCs/>
          <w:sz w:val="28"/>
        </w:rPr>
      </w:pPr>
      <w:r>
        <w:rPr>
          <w:b/>
          <w:bCs/>
          <w:sz w:val="28"/>
        </w:rPr>
        <w:t>RFQ Acceptance Expiration Date</w:t>
      </w:r>
    </w:p>
    <w:p>
      <w:pPr>
        <w:pStyle w:val="BodyText"/>
        <w:rPr>
          <w:b/>
          <w:bCs/>
          <w:sz w:val="28"/>
        </w:rPr>
      </w:pPr>
      <w:r>
        <w:rPr>
          <w:b/>
          <w:bCs/>
          <w:sz w:val="28"/>
        </w:rPr>
      </w:r>
    </w:p>
    <w:p>
      <w:pPr>
        <w:pStyle w:val="BodyText"/>
        <w:rPr/>
      </w:pPr>
      <w:r>
        <w:rPr/>
        <w:drawing>
          <wp:inline distT="0" distB="0" distL="0" distR="0">
            <wp:extent cx="3708400" cy="620395"/>
            <wp:effectExtent l="0" t="0" r="0" b="0"/>
            <wp:docPr id="109" name="Image1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8" descr="" title=""/>
                    <pic:cNvPicPr>
                      <a:picLocks noChangeAspect="1" noChangeArrowheads="1"/>
                    </pic:cNvPicPr>
                  </pic:nvPicPr>
                  <pic:blipFill>
                    <a:blip r:embed="rId146"/>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buyer can decide to run a RFQ and give it an immediate due date (in which case only the firm supplier bids will be playing) or a future expiration date in time.  If the ladder is selected, the buyer chooses the appropriate length of time before all suppliers must respond with their adjusted offers.</w:t>
      </w:r>
    </w:p>
    <w:p>
      <w:pPr>
        <w:pStyle w:val="BodyText"/>
        <w:rPr/>
      </w:pPr>
      <w:r>
        <w:rPr/>
      </w:r>
    </w:p>
    <w:p>
      <w:pPr>
        <w:pStyle w:val="BodyText"/>
        <w:rPr>
          <w:b/>
          <w:bCs/>
          <w:sz w:val="28"/>
        </w:rPr>
      </w:pPr>
      <w:r>
        <w:rPr>
          <w:b/>
          <w:bCs/>
          <w:sz w:val="28"/>
        </w:rPr>
      </w:r>
    </w:p>
    <w:p>
      <w:pPr>
        <w:pStyle w:val="BodyText"/>
        <w:rPr>
          <w:b/>
          <w:bCs/>
          <w:sz w:val="28"/>
        </w:rPr>
      </w:pPr>
      <w:r>
        <w:rPr>
          <w:b/>
          <w:bCs/>
          <w:sz w:val="28"/>
        </w:rPr>
        <w:t>Mechanism for Templates</w:t>
      </w:r>
    </w:p>
    <w:p>
      <w:pPr>
        <w:pStyle w:val="BodyText"/>
        <w:rPr>
          <w:b/>
          <w:bCs/>
          <w:sz w:val="28"/>
        </w:rPr>
      </w:pPr>
      <w:r>
        <w:rPr>
          <w:b/>
          <w:bCs/>
          <w:sz w:val="28"/>
        </w:rPr>
      </w:r>
    </w:p>
    <w:p>
      <w:pPr>
        <w:pStyle w:val="BodyText"/>
        <w:rPr/>
      </w:pPr>
      <w:r>
        <w:rPr/>
        <w:drawing>
          <wp:inline distT="0" distB="0" distL="0" distR="0">
            <wp:extent cx="3708400" cy="620395"/>
            <wp:effectExtent l="0" t="0" r="0" b="0"/>
            <wp:docPr id="110" name="Image1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09" descr="" title=""/>
                    <pic:cNvPicPr>
                      <a:picLocks noChangeAspect="1" noChangeArrowheads="1"/>
                    </pic:cNvPicPr>
                  </pic:nvPicPr>
                  <pic:blipFill>
                    <a:blip r:embed="rId14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Buyers should be able to select templates from past RFQs and choose which settings they wish to keep for the current RFQ.  Features such as requirement types, requirement weights, preference levels, and approved suppliers should be made readily available for selection at the creation of a new RFQ.</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Buyers Can Invite Suppliers to the Network</w:t>
      </w:r>
    </w:p>
    <w:p>
      <w:pPr>
        <w:pStyle w:val="BodyText"/>
        <w:rPr>
          <w:b/>
          <w:bCs/>
          <w:sz w:val="28"/>
        </w:rPr>
      </w:pPr>
      <w:r>
        <w:rPr>
          <w:b/>
          <w:bCs/>
          <w:sz w:val="28"/>
        </w:rPr>
      </w:r>
    </w:p>
    <w:p>
      <w:pPr>
        <w:pStyle w:val="BodyText"/>
        <w:rPr/>
      </w:pPr>
      <w:r>
        <w:rPr/>
        <w:drawing>
          <wp:inline distT="0" distB="0" distL="0" distR="0">
            <wp:extent cx="3708400" cy="620395"/>
            <wp:effectExtent l="0" t="0" r="0" b="0"/>
            <wp:docPr id="111" name="Image1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10" descr="" title=""/>
                    <pic:cNvPicPr>
                      <a:picLocks noChangeAspect="1" noChangeArrowheads="1"/>
                    </pic:cNvPicPr>
                  </pic:nvPicPr>
                  <pic:blipFill>
                    <a:blip r:embed="rId14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If a buyer cannot find the suppliers he or she wishes in the supplier network, a mechanism should be made available to invite them to the bidding party.</w:t>
      </w:r>
    </w:p>
    <w:p>
      <w:pPr>
        <w:pStyle w:val="BodyText"/>
        <w:rPr/>
      </w:pPr>
      <w:r>
        <w:rPr/>
      </w:r>
    </w:p>
    <w:p>
      <w:pPr>
        <w:pStyle w:val="BodyText"/>
        <w:rPr/>
      </w:pPr>
      <w:r>
        <w:rPr/>
      </w:r>
    </w:p>
    <w:p>
      <w:pPr>
        <w:pStyle w:val="BodyText"/>
        <w:rPr>
          <w:b/>
          <w:bCs/>
          <w:sz w:val="28"/>
        </w:rPr>
      </w:pPr>
      <w:r>
        <w:rPr>
          <w:b/>
          <w:bCs/>
          <w:sz w:val="28"/>
        </w:rPr>
        <w:t>Purchase Order Numbers</w:t>
      </w:r>
    </w:p>
    <w:p>
      <w:pPr>
        <w:pStyle w:val="BodyText"/>
        <w:rPr>
          <w:b/>
          <w:bCs/>
          <w:sz w:val="28"/>
        </w:rPr>
      </w:pPr>
      <w:r>
        <w:rPr>
          <w:b/>
          <w:bCs/>
          <w:sz w:val="28"/>
        </w:rPr>
      </w:r>
    </w:p>
    <w:p>
      <w:pPr>
        <w:pStyle w:val="BodyText"/>
        <w:rPr/>
      </w:pPr>
      <w:r>
        <w:rPr/>
        <w:drawing>
          <wp:inline distT="0" distB="0" distL="0" distR="0">
            <wp:extent cx="3708400" cy="620395"/>
            <wp:effectExtent l="0" t="0" r="0" b="0"/>
            <wp:docPr id="112" name="Image1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1" descr="" title=""/>
                    <pic:cNvPicPr>
                      <a:picLocks noChangeAspect="1" noChangeArrowheads="1"/>
                    </pic:cNvPicPr>
                  </pic:nvPicPr>
                  <pic:blipFill>
                    <a:blip r:embed="rId14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A field for a Purchase Order (P.O.) number should be part of the RFQ creation process for the buyer to fill out.</w:t>
      </w:r>
    </w:p>
    <w:p>
      <w:pPr>
        <w:pStyle w:val="BodyText"/>
        <w:rPr/>
      </w:pPr>
      <w:r>
        <w:rPr/>
      </w:r>
    </w:p>
    <w:p>
      <w:pPr>
        <w:pStyle w:val="BodyText"/>
        <w:rPr/>
      </w:pPr>
      <w:r>
        <w:rPr/>
      </w:r>
    </w:p>
    <w:p>
      <w:pPr>
        <w:pStyle w:val="BodyText"/>
        <w:rPr>
          <w:b/>
          <w:bCs/>
          <w:sz w:val="28"/>
        </w:rPr>
      </w:pPr>
      <w:r>
        <w:rPr>
          <w:b/>
          <w:bCs/>
          <w:sz w:val="28"/>
        </w:rPr>
        <w:t>Ability to Select the Weight Distribution of Each Criterium</w:t>
      </w:r>
    </w:p>
    <w:p>
      <w:pPr>
        <w:pStyle w:val="BodyText"/>
        <w:rPr>
          <w:b/>
          <w:bCs/>
          <w:sz w:val="28"/>
        </w:rPr>
      </w:pPr>
      <w:r>
        <w:rPr>
          <w:b/>
          <w:bCs/>
          <w:sz w:val="28"/>
        </w:rPr>
      </w:r>
    </w:p>
    <w:p>
      <w:pPr>
        <w:pStyle w:val="BodyText"/>
        <w:rPr/>
      </w:pPr>
      <w:r>
        <w:rPr/>
        <w:drawing>
          <wp:inline distT="0" distB="0" distL="0" distR="0">
            <wp:extent cx="3708400" cy="620395"/>
            <wp:effectExtent l="0" t="0" r="0" b="0"/>
            <wp:docPr id="113" name="Image1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12" descr="" title=""/>
                    <pic:cNvPicPr>
                      <a:picLocks noChangeAspect="1" noChangeArrowheads="1"/>
                    </pic:cNvPicPr>
                  </pic:nvPicPr>
                  <pic:blipFill>
                    <a:blip r:embed="rId15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Because every buyer has different evaluation methodologies, they should be given the choice to either accept the recommended settings or select their own weight distribution (each criterion is weighted relative to others).</w:t>
      </w:r>
    </w:p>
    <w:p>
      <w:pPr>
        <w:pStyle w:val="BodyText"/>
        <w:rPr/>
      </w:pPr>
      <w:r>
        <w:rPr/>
      </w:r>
    </w:p>
    <w:p>
      <w:pPr>
        <w:pStyle w:val="BodyText"/>
        <w:rPr/>
      </w:pPr>
      <w:r>
        <w:rPr/>
      </w:r>
    </w:p>
    <w:p>
      <w:pPr>
        <w:pStyle w:val="BodyText"/>
        <w:rPr>
          <w:b/>
          <w:bCs/>
          <w:sz w:val="28"/>
        </w:rPr>
      </w:pPr>
      <w:r>
        <w:rPr>
          <w:b/>
          <w:bCs/>
          <w:sz w:val="28"/>
        </w:rPr>
        <w:t>Indicative Bidding</w:t>
      </w:r>
    </w:p>
    <w:p>
      <w:pPr>
        <w:pStyle w:val="BodyText"/>
        <w:rPr>
          <w:b/>
          <w:bCs/>
          <w:sz w:val="28"/>
        </w:rPr>
      </w:pPr>
      <w:r>
        <w:rPr>
          <w:b/>
          <w:bCs/>
          <w:sz w:val="28"/>
        </w:rPr>
      </w:r>
    </w:p>
    <w:p>
      <w:pPr>
        <w:pStyle w:val="BodyText"/>
        <w:rPr>
          <w:b/>
          <w:bCs/>
          <w:sz w:val="28"/>
        </w:rPr>
      </w:pPr>
      <w:r>
        <w:rPr/>
        <w:drawing>
          <wp:inline distT="0" distB="0" distL="0" distR="0">
            <wp:extent cx="3708400" cy="666750"/>
            <wp:effectExtent l="0" t="0" r="0" b="0"/>
            <wp:docPr id="114" name="Image1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3" descr="" title=""/>
                    <pic:cNvPicPr>
                      <a:picLocks noChangeAspect="1" noChangeArrowheads="1"/>
                    </pic:cNvPicPr>
                  </pic:nvPicPr>
                  <pic:blipFill>
                    <a:blip r:embed="rId151"/>
                    <a:srcRect l="-15" t="-89" r="-15" b="-89"/>
                    <a:stretch>
                      <a:fillRect/>
                    </a:stretch>
                  </pic:blipFill>
                  <pic:spPr bwMode="auto">
                    <a:xfrm>
                      <a:off x="0" y="0"/>
                      <a:ext cx="3708400" cy="666750"/>
                    </a:xfrm>
                    <a:prstGeom prst="rect">
                      <a:avLst/>
                    </a:prstGeom>
                    <a:noFill/>
                  </pic:spPr>
                </pic:pic>
              </a:graphicData>
            </a:graphic>
          </wp:inline>
        </w:drawing>
      </w:r>
    </w:p>
    <w:p>
      <w:pPr>
        <w:pStyle w:val="BodyText"/>
        <w:rPr>
          <w:b/>
          <w:bCs/>
          <w:sz w:val="28"/>
        </w:rPr>
      </w:pPr>
      <w:r>
        <w:rPr>
          <w:b/>
          <w:bCs/>
          <w:sz w:val="28"/>
        </w:rPr>
      </w:r>
    </w:p>
    <w:p>
      <w:pPr>
        <w:pStyle w:val="BodyText"/>
        <w:rPr/>
      </w:pPr>
      <w:r>
        <w:rPr/>
        <w:t>Because indicative bidding reduces speed of execution, the buyer should be in control of such a feature.  If the buyer selects to accept indicative bids versus firm bids, suppliers can do so at their own will.  Indicative bids can be dedicated to certain products, department, or commitment levels.</w:t>
      </w:r>
    </w:p>
    <w:p>
      <w:pPr>
        <w:pStyle w:val="BodyText"/>
        <w:rPr/>
      </w:pPr>
      <w:r>
        <w:rPr/>
      </w:r>
    </w:p>
    <w:p>
      <w:pPr>
        <w:pStyle w:val="BodyText"/>
        <w:rPr/>
      </w:pPr>
      <w:r>
        <w:rPr/>
      </w:r>
    </w:p>
    <w:p>
      <w:pPr>
        <w:pStyle w:val="BodyText"/>
        <w:rPr>
          <w:b/>
          <w:bCs/>
          <w:sz w:val="28"/>
        </w:rPr>
      </w:pPr>
      <w:r>
        <w:rPr>
          <w:b/>
          <w:bCs/>
          <w:sz w:val="28"/>
        </w:rPr>
        <w:t>Supplier Management Log</w:t>
      </w:r>
    </w:p>
    <w:p>
      <w:pPr>
        <w:pStyle w:val="BodyText"/>
        <w:rPr>
          <w:b/>
          <w:bCs/>
          <w:sz w:val="28"/>
        </w:rPr>
      </w:pPr>
      <w:r>
        <w:rPr>
          <w:b/>
          <w:bCs/>
          <w:sz w:val="28"/>
        </w:rPr>
      </w:r>
    </w:p>
    <w:p>
      <w:pPr>
        <w:pStyle w:val="BodyText"/>
        <w:rPr/>
      </w:pPr>
      <w:r>
        <w:rPr/>
        <w:drawing>
          <wp:inline distT="0" distB="0" distL="0" distR="0">
            <wp:extent cx="3708400" cy="666750"/>
            <wp:effectExtent l="0" t="0" r="0" b="0"/>
            <wp:docPr id="115" name="Image1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14" descr="" title=""/>
                    <pic:cNvPicPr>
                      <a:picLocks noChangeAspect="1" noChangeArrowheads="1"/>
                    </pic:cNvPicPr>
                  </pic:nvPicPr>
                  <pic:blipFill>
                    <a:blip r:embed="rId152"/>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Buyers sometime do business with thousands of suppliers.   Managing those can be quite a task.  The system can be devised to maintain a list of favorite and approved suppliers for each user.</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bCs/>
          <w:sz w:val="28"/>
        </w:rPr>
      </w:pPr>
      <w:r>
        <w:rPr>
          <w:b/>
          <w:bCs/>
          <w:sz w:val="28"/>
        </w:rPr>
        <w:t>Schema Recommendations</w:t>
      </w:r>
    </w:p>
    <w:p>
      <w:pPr>
        <w:pStyle w:val="BodyText"/>
        <w:rPr>
          <w:b/>
          <w:bCs/>
          <w:sz w:val="28"/>
        </w:rPr>
      </w:pPr>
      <w:r>
        <w:rPr>
          <w:b/>
          <w:bCs/>
          <w:sz w:val="28"/>
        </w:rPr>
      </w:r>
    </w:p>
    <w:p>
      <w:pPr>
        <w:pStyle w:val="BodyText"/>
        <w:rPr/>
      </w:pPr>
      <w:r>
        <w:rPr/>
        <w:drawing>
          <wp:inline distT="0" distB="0" distL="0" distR="0">
            <wp:extent cx="3708400" cy="666750"/>
            <wp:effectExtent l="0" t="0" r="0" b="0"/>
            <wp:docPr id="116" name="Image1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5" descr="" title=""/>
                    <pic:cNvPicPr>
                      <a:picLocks noChangeAspect="1" noChangeArrowheads="1"/>
                    </pic:cNvPicPr>
                  </pic:nvPicPr>
                  <pic:blipFill>
                    <a:blip r:embed="rId153"/>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An expert system that recommends schemas for various RFQ settings can be very helpful.  Based on statistically relevant historical data, the system could recommend how the buyer typically likes to build a RFQ.</w:t>
      </w:r>
    </w:p>
    <w:p>
      <w:pPr>
        <w:pStyle w:val="BodyText"/>
        <w:rPr/>
      </w:pPr>
      <w:r>
        <w:rPr/>
      </w:r>
    </w:p>
    <w:p>
      <w:pPr>
        <w:pStyle w:val="BodyText"/>
        <w:rPr/>
      </w:pPr>
      <w:r>
        <w:rPr/>
      </w:r>
    </w:p>
    <w:p>
      <w:pPr>
        <w:pStyle w:val="BodyText"/>
        <w:rPr>
          <w:b/>
          <w:bCs/>
          <w:sz w:val="28"/>
        </w:rPr>
      </w:pPr>
      <w:r>
        <w:rPr>
          <w:b/>
          <w:bCs/>
          <w:sz w:val="28"/>
        </w:rPr>
        <w:t>MSDS Option</w:t>
      </w:r>
    </w:p>
    <w:p>
      <w:pPr>
        <w:pStyle w:val="BodyText"/>
        <w:rPr>
          <w:b/>
          <w:bCs/>
          <w:sz w:val="28"/>
        </w:rPr>
      </w:pPr>
      <w:r>
        <w:rPr>
          <w:b/>
          <w:bCs/>
          <w:sz w:val="28"/>
        </w:rPr>
      </w:r>
    </w:p>
    <w:p>
      <w:pPr>
        <w:pStyle w:val="BodyText"/>
        <w:rPr/>
      </w:pPr>
      <w:r>
        <w:rPr/>
        <w:drawing>
          <wp:inline distT="0" distB="0" distL="0" distR="0">
            <wp:extent cx="3708400" cy="620395"/>
            <wp:effectExtent l="0" t="0" r="0" b="0"/>
            <wp:docPr id="117" name="Image1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6" descr="" title=""/>
                    <pic:cNvPicPr>
                      <a:picLocks noChangeAspect="1" noChangeArrowheads="1"/>
                    </pic:cNvPicPr>
                  </pic:nvPicPr>
                  <pic:blipFill>
                    <a:blip r:embed="rId154"/>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Material Safety Data Sheets are legally required in some industries.  The system should be able to hyperlink to the appropriate MSDS content for the products in the RFQ.</w:t>
      </w:r>
    </w:p>
    <w:p>
      <w:pPr>
        <w:pStyle w:val="BodyText"/>
        <w:rPr/>
      </w:pPr>
      <w:r>
        <w:rPr/>
      </w:r>
    </w:p>
    <w:p>
      <w:pPr>
        <w:pStyle w:val="BodyText"/>
        <w:rPr/>
      </w:pPr>
      <w:r>
        <w:rPr/>
      </w:r>
    </w:p>
    <w:p>
      <w:pPr>
        <w:pStyle w:val="BodyText"/>
        <w:rPr>
          <w:b/>
          <w:bCs/>
          <w:sz w:val="28"/>
        </w:rPr>
      </w:pPr>
      <w:r>
        <w:rPr>
          <w:b/>
          <w:bCs/>
          <w:sz w:val="28"/>
        </w:rPr>
        <w:t>Application Assessment Module</w:t>
      </w:r>
    </w:p>
    <w:p>
      <w:pPr>
        <w:pStyle w:val="BodyText"/>
        <w:rPr>
          <w:b/>
          <w:bCs/>
          <w:sz w:val="28"/>
        </w:rPr>
      </w:pPr>
      <w:r>
        <w:rPr>
          <w:b/>
          <w:bCs/>
          <w:sz w:val="28"/>
        </w:rPr>
      </w:r>
    </w:p>
    <w:p>
      <w:pPr>
        <w:pStyle w:val="BodyText"/>
        <w:rPr/>
      </w:pPr>
      <w:r>
        <w:rPr/>
        <w:drawing>
          <wp:inline distT="0" distB="0" distL="0" distR="0">
            <wp:extent cx="3708400" cy="666750"/>
            <wp:effectExtent l="0" t="0" r="0" b="0"/>
            <wp:docPr id="118" name="Image1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7" descr="" title=""/>
                    <pic:cNvPicPr>
                      <a:picLocks noChangeAspect="1" noChangeArrowheads="1"/>
                    </pic:cNvPicPr>
                  </pic:nvPicPr>
                  <pic:blipFill>
                    <a:blip r:embed="rId155"/>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 xml:space="preserve">The system should be able to recommend preferences based on the application (what will the product be used for) selection.  </w:t>
      </w:r>
    </w:p>
    <w:p>
      <w:pPr>
        <w:pStyle w:val="BodyText"/>
        <w:rPr/>
      </w:pPr>
      <w:r>
        <w:rPr/>
      </w:r>
    </w:p>
    <w:p>
      <w:pPr>
        <w:pStyle w:val="BodyText"/>
        <w:rPr>
          <w:b/>
          <w:bCs/>
          <w:sz w:val="28"/>
        </w:rPr>
      </w:pPr>
      <w:r>
        <w:rPr>
          <w:b/>
          <w:bCs/>
          <w:sz w:val="28"/>
        </w:rPr>
        <w:t>ISO900X Option</w:t>
      </w:r>
    </w:p>
    <w:p>
      <w:pPr>
        <w:pStyle w:val="BodyText"/>
        <w:rPr>
          <w:b/>
          <w:bCs/>
          <w:sz w:val="28"/>
        </w:rPr>
      </w:pPr>
      <w:r>
        <w:rPr>
          <w:b/>
          <w:bCs/>
          <w:sz w:val="28"/>
        </w:rPr>
      </w:r>
    </w:p>
    <w:p>
      <w:pPr>
        <w:pStyle w:val="BodyText"/>
        <w:rPr/>
      </w:pPr>
      <w:r>
        <w:rPr/>
        <w:drawing>
          <wp:inline distT="0" distB="0" distL="0" distR="0">
            <wp:extent cx="3708400" cy="666750"/>
            <wp:effectExtent l="0" t="0" r="0" b="0"/>
            <wp:docPr id="119" name="Image1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8" descr="" title=""/>
                    <pic:cNvPicPr>
                      <a:picLocks noChangeAspect="1" noChangeArrowheads="1"/>
                    </pic:cNvPicPr>
                  </pic:nvPicPr>
                  <pic:blipFill>
                    <a:blip r:embed="rId156"/>
                    <a:srcRect l="-15" t="-89" r="-15" b="-89"/>
                    <a:stretch>
                      <a:fillRect/>
                    </a:stretch>
                  </pic:blipFill>
                  <pic:spPr bwMode="auto">
                    <a:xfrm>
                      <a:off x="0" y="0"/>
                      <a:ext cx="3708400" cy="666750"/>
                    </a:xfrm>
                    <a:prstGeom prst="rect">
                      <a:avLst/>
                    </a:prstGeom>
                    <a:noFill/>
                  </pic:spPr>
                </pic:pic>
              </a:graphicData>
            </a:graphic>
          </wp:inline>
        </w:drawing>
      </w:r>
    </w:p>
    <w:p>
      <w:pPr>
        <w:pStyle w:val="BodyText"/>
        <w:rPr/>
      </w:pPr>
      <w:r>
        <w:rPr/>
      </w:r>
    </w:p>
    <w:p>
      <w:pPr>
        <w:pStyle w:val="BodyText"/>
        <w:rPr/>
      </w:pPr>
      <w:r>
        <w:rPr/>
        <w:t>ISO900X certification can be an important requirement for some buyers.  A field should be available for such a request.</w:t>
      </w:r>
    </w:p>
    <w:p>
      <w:pPr>
        <w:pStyle w:val="BodyText"/>
        <w:rPr/>
      </w:pPr>
      <w:r>
        <w:rPr/>
      </w:r>
    </w:p>
    <w:p>
      <w:pPr>
        <w:pStyle w:val="BodyText"/>
        <w:rPr/>
      </w:pPr>
      <w:r>
        <w:rPr/>
      </w:r>
    </w:p>
    <w:p>
      <w:pPr>
        <w:pStyle w:val="BodyText"/>
        <w:rPr>
          <w:b/>
          <w:bCs/>
          <w:sz w:val="28"/>
        </w:rPr>
      </w:pPr>
      <w:r>
        <w:rPr>
          <w:b/>
          <w:bCs/>
          <w:sz w:val="28"/>
        </w:rPr>
        <w:t>Buyer Decides the Winning Bidder</w:t>
      </w:r>
    </w:p>
    <w:p>
      <w:pPr>
        <w:pStyle w:val="BodyText"/>
        <w:rPr>
          <w:b/>
          <w:bCs/>
          <w:sz w:val="28"/>
        </w:rPr>
      </w:pPr>
      <w:r>
        <w:rPr>
          <w:b/>
          <w:bCs/>
          <w:sz w:val="28"/>
        </w:rPr>
      </w:r>
    </w:p>
    <w:p>
      <w:pPr>
        <w:pStyle w:val="BodyText"/>
        <w:rPr/>
      </w:pPr>
      <w:r>
        <w:rPr/>
        <w:drawing>
          <wp:inline distT="0" distB="0" distL="0" distR="0">
            <wp:extent cx="3708400" cy="620395"/>
            <wp:effectExtent l="0" t="0" r="0" b="0"/>
            <wp:docPr id="120" name="Image1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19" descr="" title=""/>
                    <pic:cNvPicPr>
                      <a:picLocks noChangeAspect="1" noChangeArrowheads="1"/>
                    </pic:cNvPicPr>
                  </pic:nvPicPr>
                  <pic:blipFill>
                    <a:blip r:embed="rId157"/>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should be in control regarding the winning bidder.  The system may recommend a bidder based on the RFQ requirements, but the buyer should have the final word.</w:t>
      </w:r>
    </w:p>
    <w:p>
      <w:pPr>
        <w:pStyle w:val="BodyText"/>
        <w:rPr/>
      </w:pPr>
      <w:r>
        <w:rPr/>
      </w:r>
    </w:p>
    <w:p>
      <w:pPr>
        <w:pStyle w:val="BodyText"/>
        <w:rPr/>
      </w:pPr>
      <w:r>
        <w:rPr/>
      </w:r>
    </w:p>
    <w:p>
      <w:pPr>
        <w:pStyle w:val="BodyText"/>
        <w:rPr>
          <w:b/>
          <w:bCs/>
          <w:sz w:val="28"/>
        </w:rPr>
      </w:pPr>
      <w:r>
        <w:rPr>
          <w:b/>
          <w:bCs/>
          <w:sz w:val="28"/>
        </w:rPr>
        <w:t>Evaluation Methodology</w:t>
      </w:r>
    </w:p>
    <w:p>
      <w:pPr>
        <w:pStyle w:val="BodyText"/>
        <w:rPr>
          <w:b/>
          <w:bCs/>
          <w:sz w:val="28"/>
        </w:rPr>
      </w:pPr>
      <w:r>
        <w:rPr>
          <w:b/>
          <w:bCs/>
          <w:sz w:val="28"/>
        </w:rPr>
      </w:r>
    </w:p>
    <w:p>
      <w:pPr>
        <w:pStyle w:val="BodyText"/>
        <w:rPr/>
      </w:pPr>
      <w:r>
        <w:rPr/>
        <w:drawing>
          <wp:inline distT="0" distB="0" distL="0" distR="0">
            <wp:extent cx="3708400" cy="620395"/>
            <wp:effectExtent l="0" t="0" r="0" b="0"/>
            <wp:docPr id="121" name="Image1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20" descr="" title=""/>
                    <pic:cNvPicPr>
                      <a:picLocks noChangeAspect="1" noChangeArrowheads="1"/>
                    </pic:cNvPicPr>
                  </pic:nvPicPr>
                  <pic:blipFill>
                    <a:blip r:embed="rId158"/>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needs an evaluation methodology to select the winning bidder.</w:t>
      </w:r>
    </w:p>
    <w:p>
      <w:pPr>
        <w:pStyle w:val="BodyText"/>
        <w:rPr/>
      </w:pPr>
      <w:r>
        <w:rPr/>
      </w:r>
    </w:p>
    <w:p>
      <w:pPr>
        <w:pStyle w:val="BodyText"/>
        <w:rPr/>
      </w:pPr>
      <w:r>
        <w:rPr/>
      </w:r>
    </w:p>
    <w:p>
      <w:pPr>
        <w:pStyle w:val="BodyText"/>
        <w:rPr/>
      </w:pPr>
      <w:r>
        <w:rPr/>
      </w:r>
    </w:p>
    <w:p>
      <w:pPr>
        <w:pStyle w:val="BodyText"/>
        <w:rPr>
          <w:b/>
          <w:bCs/>
          <w:sz w:val="28"/>
        </w:rPr>
      </w:pPr>
      <w:r>
        <w:rPr>
          <w:b/>
          <w:bCs/>
          <w:sz w:val="28"/>
        </w:rPr>
        <w:t>Pre-Commitment Option</w:t>
      </w:r>
    </w:p>
    <w:p>
      <w:pPr>
        <w:pStyle w:val="BodyText"/>
        <w:rPr>
          <w:b/>
          <w:bCs/>
          <w:sz w:val="28"/>
        </w:rPr>
      </w:pPr>
      <w:r>
        <w:rPr>
          <w:b/>
          <w:bCs/>
          <w:sz w:val="28"/>
        </w:rPr>
      </w:r>
    </w:p>
    <w:p>
      <w:pPr>
        <w:pStyle w:val="BodyText"/>
        <w:rPr/>
      </w:pPr>
      <w:r>
        <w:rPr/>
        <w:drawing>
          <wp:inline distT="0" distB="0" distL="0" distR="0">
            <wp:extent cx="3708400" cy="620395"/>
            <wp:effectExtent l="0" t="0" r="0" b="0"/>
            <wp:docPr id="122" name="Image1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21" descr="" title=""/>
                    <pic:cNvPicPr>
                      <a:picLocks noChangeAspect="1" noChangeArrowheads="1"/>
                    </pic:cNvPicPr>
                  </pic:nvPicPr>
                  <pic:blipFill>
                    <a:blip r:embed="rId159"/>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buyer should be able to select his or her commitment level since it will affect the bids.  For example, a buyer can select a reserve value score or minimum score at which he or she will commit to buy from the best bidder who meets the this requirement.</w:t>
      </w:r>
    </w:p>
    <w:p>
      <w:pPr>
        <w:pStyle w:val="BodyText"/>
        <w:rPr/>
      </w:pPr>
      <w:r>
        <w:rPr/>
      </w:r>
    </w:p>
    <w:p>
      <w:pPr>
        <w:pStyle w:val="BodyText"/>
        <w:rPr/>
      </w:pPr>
      <w:r>
        <w:rPr/>
      </w:r>
    </w:p>
    <w:p>
      <w:pPr>
        <w:pStyle w:val="BodyText"/>
        <w:rPr>
          <w:b/>
          <w:bCs/>
          <w:sz w:val="28"/>
        </w:rPr>
      </w:pPr>
      <w:r>
        <w:rPr>
          <w:b/>
          <w:bCs/>
          <w:sz w:val="28"/>
        </w:rPr>
        <w:t>Automatic RFQ Number generation</w:t>
      </w:r>
    </w:p>
    <w:p>
      <w:pPr>
        <w:pStyle w:val="BodyText"/>
        <w:rPr>
          <w:b/>
          <w:bCs/>
          <w:sz w:val="28"/>
        </w:rPr>
      </w:pPr>
      <w:r>
        <w:rPr>
          <w:b/>
          <w:bCs/>
          <w:sz w:val="28"/>
        </w:rPr>
      </w:r>
    </w:p>
    <w:p>
      <w:pPr>
        <w:pStyle w:val="BodyText"/>
        <w:rPr/>
      </w:pPr>
      <w:r>
        <w:rPr/>
        <w:drawing>
          <wp:inline distT="0" distB="0" distL="0" distR="0">
            <wp:extent cx="3708400" cy="620395"/>
            <wp:effectExtent l="0" t="0" r="0" b="0"/>
            <wp:docPr id="123" name="Image1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22" descr="" title=""/>
                    <pic:cNvPicPr>
                      <a:picLocks noChangeAspect="1" noChangeArrowheads="1"/>
                    </pic:cNvPicPr>
                  </pic:nvPicPr>
                  <pic:blipFill>
                    <a:blip r:embed="rId160"/>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The system must generate a RFQ number automatically and incorporate it into the creation of the RFQ process for reference.</w:t>
      </w:r>
    </w:p>
    <w:p>
      <w:pPr>
        <w:pStyle w:val="BodyText"/>
        <w:rPr/>
      </w:pPr>
      <w:r>
        <w:rPr/>
      </w:r>
    </w:p>
    <w:p>
      <w:pPr>
        <w:pStyle w:val="BodyText"/>
        <w:rPr/>
      </w:pPr>
      <w:r>
        <w:rPr/>
      </w:r>
    </w:p>
    <w:p>
      <w:pPr>
        <w:pStyle w:val="BodyText"/>
        <w:rPr>
          <w:b/>
          <w:bCs/>
          <w:sz w:val="28"/>
        </w:rPr>
      </w:pPr>
      <w:r>
        <w:rPr>
          <w:b/>
          <w:bCs/>
          <w:sz w:val="28"/>
        </w:rPr>
        <w:t>Speed is of the Essence</w:t>
      </w:r>
    </w:p>
    <w:p>
      <w:pPr>
        <w:pStyle w:val="BodyText"/>
        <w:rPr>
          <w:b/>
          <w:bCs/>
          <w:sz w:val="28"/>
        </w:rPr>
      </w:pPr>
      <w:r>
        <w:rPr>
          <w:b/>
          <w:bCs/>
          <w:sz w:val="28"/>
        </w:rPr>
      </w:r>
    </w:p>
    <w:p>
      <w:pPr>
        <w:pStyle w:val="BodyText"/>
        <w:rPr/>
      </w:pPr>
      <w:r>
        <w:rPr/>
        <w:drawing>
          <wp:inline distT="0" distB="0" distL="0" distR="0">
            <wp:extent cx="3708400" cy="620395"/>
            <wp:effectExtent l="0" t="0" r="0" b="0"/>
            <wp:docPr id="124" name="Image1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3" descr="" title=""/>
                    <pic:cNvPicPr>
                      <a:picLocks noChangeAspect="1" noChangeArrowheads="1"/>
                    </pic:cNvPicPr>
                  </pic:nvPicPr>
                  <pic:blipFill>
                    <a:blip r:embed="rId161"/>
                    <a:srcRect l="-15" t="-89" r="-15" b="-89"/>
                    <a:stretch>
                      <a:fillRect/>
                    </a:stretch>
                  </pic:blipFill>
                  <pic:spPr bwMode="auto">
                    <a:xfrm>
                      <a:off x="0" y="0"/>
                      <a:ext cx="3708400" cy="620395"/>
                    </a:xfrm>
                    <a:prstGeom prst="rect">
                      <a:avLst/>
                    </a:prstGeom>
                    <a:noFill/>
                  </pic:spPr>
                </pic:pic>
              </a:graphicData>
            </a:graphic>
          </wp:inline>
        </w:drawing>
      </w:r>
    </w:p>
    <w:p>
      <w:pPr>
        <w:pStyle w:val="BodyText"/>
        <w:rPr/>
      </w:pPr>
      <w:r>
        <w:rPr/>
      </w:r>
    </w:p>
    <w:p>
      <w:pPr>
        <w:pStyle w:val="BodyText"/>
        <w:rPr/>
      </w:pPr>
      <w:r>
        <w:rPr/>
        <w:t>For the proposition to be of any value, a buyer must be able to create a RFQ in an expedient manner (30 minutes or less) and run it in minutes.</w:t>
      </w:r>
    </w:p>
    <w:p>
      <w:pPr>
        <w:pStyle w:val="BodyText"/>
        <w:rPr/>
      </w:pPr>
      <w:r>
        <w:rPr/>
      </w:r>
    </w:p>
    <w:p>
      <w:pPr>
        <w:pStyle w:val="BodyText"/>
        <w:spacing w:lineRule="auto" w:line="240"/>
        <w:rPr>
          <w:b/>
          <w:bCs/>
          <w:sz w:val="36"/>
        </w:rPr>
      </w:pPr>
      <w:r>
        <w:rPr>
          <w:b/>
          <w:bCs/>
          <w:sz w:val="36"/>
        </w:rPr>
        <w:t>CONCLUSION</w:t>
      </w:r>
    </w:p>
    <w:p>
      <w:pPr>
        <w:pStyle w:val="BodyText"/>
        <w:rPr>
          <w:sz w:val="36"/>
        </w:rPr>
      </w:pPr>
      <w:r>
        <w:rPr>
          <w:sz w:val="36"/>
        </w:rPr>
        <w:t>___________________________________________</w:t>
      </w:r>
    </w:p>
    <w:p>
      <w:pPr>
        <w:pStyle w:val="BodyText"/>
        <w:rPr>
          <w:sz w:val="36"/>
        </w:rPr>
      </w:pPr>
      <w:r>
        <w:rPr>
          <w:sz w:val="36"/>
        </w:rPr>
      </w:r>
    </w:p>
    <w:p>
      <w:pPr>
        <w:pStyle w:val="BodyText"/>
        <w:rPr/>
      </w:pPr>
      <w:r>
        <w:rPr/>
        <w:t>Adrian Slywotzky, e-commerce author, believes the Internet will overturn the inefficient push model of supplier-customer interaction. He predicts that in all sorts of markets, customers will use choice boards -- interactive, on-line systems that let people design their own products by choosing from a menu of attributes, prices, and delivery options. And he explores how the shifting role of the customer -- from passive recipient to active designer -- will change the way companies compete.</w:t>
      </w:r>
    </w:p>
    <w:p>
      <w:pPr>
        <w:pStyle w:val="BodyText"/>
        <w:rPr/>
      </w:pPr>
      <w:r>
        <w:rPr/>
      </w:r>
    </w:p>
    <w:p>
      <w:pPr>
        <w:pStyle w:val="BodyText"/>
        <w:rPr/>
      </w:pPr>
      <w:r>
        <w:rPr/>
        <w:t>The intermediaries and the successful business models will largely depend on recognition of the unique economic attributes of the network environment, and on innovations designed to take advantage of these attributes.  Modern economic theory has established that markets constitute the best solution to process chaotic information and induce efficient resource allocations.  Hence, it stands to reason that metamediaries such as Perfect.com and their market mechanism innovations such as the multi-dimensional RFQ Application Service Provider model, will likely be more successful than initiatives that merely mimic conventional business models on the Internet.</w:t>
      </w:r>
    </w:p>
    <w:p>
      <w:pPr>
        <w:pStyle w:val="BodyText"/>
        <w:rPr/>
      </w:pPr>
      <w:r>
        <w:rPr/>
      </w:r>
    </w:p>
    <w:p>
      <w:pPr>
        <w:pStyle w:val="BodyText"/>
        <w:rPr/>
      </w:pPr>
      <w:r>
        <w:rPr/>
        <w:t>Perfect has a highly scalable, automated, real-time, multidimensional service.  The Perfect.com technology performs a constrained optimization on the buyer’s utility function and sellers’ production functions. The algorithms take the minimum resources from sellers to produce the maximum value for buyers. The resulting match between buyer and winning seller clears the market optimally.</w:t>
      </w:r>
    </w:p>
    <w:p>
      <w:pPr>
        <w:pStyle w:val="BodyText"/>
        <w:rPr/>
      </w:pPr>
      <w:r>
        <w:rPr/>
      </w:r>
    </w:p>
    <w:p>
      <w:pPr>
        <w:pStyle w:val="BodyText"/>
        <w:rPr/>
      </w:pPr>
      <w:r>
        <w:rPr/>
        <w:t xml:space="preserve">A current trend in the B2B marketplace centers on sub-contracting all activities that are not part of the core competency of an enterprise.  Now Companies have to purchase more semi-finished product (parts and labor) versus just parts.  This translates into higher priced goods and services to be purchased.  This is a positive trend for Perfect.com because of the fee for service pricing structure.  </w:t>
      </w:r>
    </w:p>
    <w:p>
      <w:pPr>
        <w:pStyle w:val="BodyText"/>
        <w:rPr/>
      </w:pPr>
      <w:r>
        <w:rPr/>
      </w:r>
    </w:p>
    <w:p>
      <w:pPr>
        <w:pStyle w:val="BodyText"/>
        <w:rPr/>
      </w:pPr>
      <w:r>
        <w:rPr/>
        <w:t>Although this document was also intended to wet the appetite of the Engineering Team, its content are not meant to replace the necessary documentation for system architecture and application development specifications.  The specification document remains the responsibility of its constituency.</w:t>
      </w:r>
    </w:p>
    <w:p>
      <w:pPr>
        <w:pStyle w:val="BodyText"/>
        <w:rPr/>
      </w:pPr>
      <w:r>
        <w:rPr/>
      </w:r>
    </w:p>
    <w:p>
      <w:pPr>
        <w:pStyle w:val="BodyText"/>
        <w:rPr/>
      </w:pPr>
      <w:r>
        <w:rPr/>
        <w:t>The market research investment was intended to give a rapid bird’s eye view of the B2B marketplace and the viability of a Perfect.com B2B initiative.  Much more in depth research is needed by the Marketing Team in the fields of competitive analysis, select vertical market demographics, and target market behavioral patterns to define a comprehensive strategic marketing direction.  Furthermore, because of the constraints on time in the development of this document, no statistically relevant functionality and usability validation initiated directly by Professional Buyers and Professional Salesmen was possible.  In order to properly oil the Perfect.com’s B2B machine, user scenarios will be authored and focus group participants will take the wheel for a test drive.  Fasten your seat belt, it promises to be an exhilarating ride!</w:t>
      </w:r>
    </w:p>
    <w:p>
      <w:pPr>
        <w:pStyle w:val="BodyText"/>
        <w:rPr>
          <w:b/>
          <w:bCs/>
        </w:rPr>
      </w:pPr>
      <w:r>
        <w:rPr>
          <w:b/>
          <w:bCs/>
        </w:rPr>
      </w:r>
    </w:p>
    <w:p>
      <w:pPr>
        <w:pStyle w:val="BodyText"/>
        <w:rPr>
          <w:b/>
          <w:bCs/>
        </w:rPr>
      </w:pPr>
      <w:r>
        <w:rPr>
          <w:b/>
          <w:bCs/>
        </w:rPr>
      </w:r>
    </w:p>
    <w:sectPr>
      <w:footerReference w:type="default" r:id="rId162"/>
      <w:footerReference w:type="first" r:id="rId16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51">
              <wp:simplePos x="0" y="0"/>
              <wp:positionH relativeFrom="margin">
                <wp:align>right</wp:align>
              </wp:positionH>
              <wp:positionV relativeFrom="paragraph">
                <wp:posOffset>635</wp:posOffset>
              </wp:positionV>
              <wp:extent cx="191135" cy="146685"/>
              <wp:effectExtent l="0" t="0" r="0" b="0"/>
              <wp:wrapSquare wrapText="bothSides"/>
              <wp:docPr id="125" name="Frame1"/>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05pt;height:11.55pt;mso-wrap-distance-left:0pt;mso-wrap-distance-right:0pt;mso-wrap-distance-top:0pt;mso-wrap-distance-bottom:0pt;margin-top:0.05pt;mso-position-vertical-relative:text;margin-left:41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1080"/>
        </w:tabs>
        <w:ind w:start="1080" w:hanging="360"/>
      </w:pPr>
    </w:lvl>
    <w:lvl w:ilvl="1">
      <w:start w:val="1"/>
      <w:numFmt w:val="bullet"/>
      <w:lvlText w:val=""/>
      <w:lvlJc w:val="start"/>
      <w:pPr>
        <w:tabs>
          <w:tab w:val="num" w:pos="1800"/>
        </w:tabs>
        <w:ind w:start="1800" w:hanging="360"/>
      </w:pPr>
      <w:rPr>
        <w:rFonts w:ascii="Symbol" w:hAnsi="Symbol" w:cs="Symbol" w:hint="default"/>
      </w:rPr>
    </w:lvl>
    <w:lvl w:ilvl="2">
      <w:start w:val="1"/>
      <w:numFmt w:val="decimal"/>
      <w:lvlText w:val="%3."/>
      <w:lvlJc w:val="start"/>
      <w:pPr>
        <w:tabs>
          <w:tab w:val="num" w:pos="2700"/>
        </w:tabs>
        <w:ind w:start="2700" w:hanging="360"/>
      </w:pPr>
    </w:lvl>
    <w:lvl w:ilvl="3">
      <w:start w:val="4"/>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0">
    <w:lvl w:ilvl="0">
      <w:start w:val="1"/>
      <w:numFmt w:val="decimal"/>
      <w:lvlText w:val="%1."/>
      <w:lvlJc w:val="start"/>
      <w:pPr>
        <w:tabs>
          <w:tab w:val="num" w:pos="720"/>
        </w:tabs>
        <w:ind w:start="720" w:hanging="360"/>
      </w:p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840"/>
        </w:tabs>
        <w:ind w:start="840" w:hanging="360"/>
      </w:pPr>
      <w:rPr>
        <w:rFonts w:ascii="Symbol" w:hAnsi="Symbol" w:cs="Symbol" w:hint="default"/>
      </w:rPr>
    </w:lvl>
  </w:abstractNum>
  <w:abstractNum w:abstractNumId="13">
    <w:lvl w:ilvl="0">
      <w:start w:val="1"/>
      <w:numFmt w:val="bullet"/>
      <w:lvlText w:val=""/>
      <w:lvlJc w:val="start"/>
      <w:pPr>
        <w:tabs>
          <w:tab w:val="num" w:pos="1800"/>
        </w:tabs>
        <w:ind w:start="1800" w:hanging="360"/>
      </w:pPr>
      <w:rPr>
        <w:rFonts w:ascii="Symbol" w:hAnsi="Symbol" w:cs="Symbol" w:hint="default"/>
      </w:rPr>
    </w:lvl>
  </w:abstractNum>
  <w:abstractNum w:abstractNumId="14">
    <w:lvl w:ilvl="0">
      <w:start w:val="1"/>
      <w:numFmt w:val="bullet"/>
      <w:lvlText w:val=""/>
      <w:lvlJc w:val="start"/>
      <w:pPr>
        <w:tabs>
          <w:tab w:val="num" w:pos="1800"/>
        </w:tabs>
        <w:ind w:start="180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1440"/>
        </w:tabs>
        <w:ind w:start="144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decimal"/>
      <w:lvlText w:val="%1."/>
      <w:lvlJc w:val="start"/>
      <w:pPr>
        <w:tabs>
          <w:tab w:val="num" w:pos="720"/>
        </w:tabs>
        <w:ind w:start="720" w:hanging="360"/>
      </w:pPr>
    </w:lvl>
  </w:abstractNum>
  <w:abstractNum w:abstractNumId="21">
    <w:lvl w:ilvl="0">
      <w:start w:val="1"/>
      <w:numFmt w:val="bullet"/>
      <w:lvlText w:val=""/>
      <w:lvlJc w:val="start"/>
      <w:pPr>
        <w:tabs>
          <w:tab w:val="num" w:pos="1440"/>
        </w:tabs>
        <w:ind w:start="1440" w:hanging="360"/>
      </w:pPr>
      <w:rPr>
        <w:rFonts w:ascii="Symbol" w:hAnsi="Symbol" w:cs="Symbol" w:hint="default"/>
      </w:rPr>
    </w:lvl>
  </w:abstractNum>
  <w:abstractNum w:abstractNumId="22">
    <w:lvl w:ilvl="0">
      <w:start w:val="1"/>
      <w:numFmt w:val="decimal"/>
      <w:lvlText w:val="%1."/>
      <w:lvlJc w:val="start"/>
      <w:pPr>
        <w:tabs>
          <w:tab w:val="num" w:pos="1080"/>
        </w:tabs>
        <w:ind w:start="1080" w:hanging="360"/>
      </w:p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4"/>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bCs/>
      <w:sz w:val="32"/>
    </w:rPr>
  </w:style>
  <w:style w:type="paragraph" w:styleId="Heading4">
    <w:name w:val="heading 4"/>
    <w:basedOn w:val="Normal"/>
    <w:next w:val="Normal"/>
    <w:qFormat/>
    <w:pPr>
      <w:keepNext w:val="true"/>
      <w:numPr>
        <w:ilvl w:val="3"/>
        <w:numId w:val="1"/>
      </w:numPr>
      <w:outlineLvl w:val="3"/>
    </w:pPr>
    <w:rPr>
      <w:rFonts w:ascii="Arial" w:hAnsi="Arial" w:cs="Arial"/>
      <w:b/>
      <w:bCs/>
      <w:sz w:val="24"/>
    </w:rPr>
  </w:style>
  <w:style w:type="paragraph" w:styleId="Heading5">
    <w:name w:val="heading 5"/>
    <w:basedOn w:val="Normal"/>
    <w:next w:val="Normal"/>
    <w:qFormat/>
    <w:pPr>
      <w:keepNext w:val="true"/>
      <w:numPr>
        <w:ilvl w:val="4"/>
        <w:numId w:val="1"/>
      </w:numPr>
      <w:outlineLvl w:val="4"/>
    </w:pPr>
    <w:rPr>
      <w:rFonts w:ascii="Arial" w:hAnsi="Arial" w:cs="Arial"/>
      <w:b/>
      <w:bCs/>
      <w:sz w:val="28"/>
    </w:rPr>
  </w:style>
  <w:style w:type="paragraph" w:styleId="Heading6">
    <w:name w:val="heading 6"/>
    <w:basedOn w:val="Normal"/>
    <w:next w:val="Normal"/>
    <w:qFormat/>
    <w:pPr>
      <w:keepNext w:val="true"/>
      <w:numPr>
        <w:ilvl w:val="5"/>
        <w:numId w:val="1"/>
      </w:numPr>
      <w:spacing w:lineRule="auto" w:line="360"/>
      <w:ind w:firstLine="720" w:start="0" w:end="0"/>
      <w:outlineLvl w:val="5"/>
    </w:pPr>
    <w:rPr>
      <w:rFonts w:ascii="Arial" w:hAnsi="Arial" w:cs="Arial"/>
      <w:sz w:val="24"/>
    </w:rPr>
  </w:style>
  <w:style w:type="character" w:styleId="WW8Num1z1">
    <w:name w:val="WW8Num1z1"/>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1">
    <w:name w:val="WW8Num15z1"/>
    <w:qFormat/>
    <w:rPr>
      <w:rFonts w:ascii="Symbol" w:hAnsi="Symbol" w:cs="Symbol"/>
    </w:rPr>
  </w:style>
  <w:style w:type="character" w:styleId="WW8Num15z3">
    <w:name w:val="WW8Num15z3"/>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9z0">
    <w:name w:val="WW8Num29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TOC1">
    <w:name w:val="toc 1"/>
    <w:basedOn w:val="Normal"/>
    <w:next w:val="Normal"/>
    <w:pPr>
      <w:spacing w:before="120" w:after="120"/>
    </w:pPr>
    <w:rPr>
      <w:b/>
      <w:bCs/>
      <w:caps/>
      <w:szCs w:val="24"/>
    </w:rPr>
  </w:style>
  <w:style w:type="paragraph" w:styleId="TOC2">
    <w:name w:val="toc 2"/>
    <w:basedOn w:val="Normal"/>
    <w:next w:val="Normal"/>
    <w:pPr>
      <w:ind w:hanging="0" w:start="200" w:end="0"/>
    </w:pPr>
    <w:rPr>
      <w:smallCaps/>
      <w:szCs w:val="24"/>
    </w:rPr>
  </w:style>
  <w:style w:type="paragraph" w:styleId="TOC3">
    <w:name w:val="toc 3"/>
    <w:basedOn w:val="Normal"/>
    <w:next w:val="Normal"/>
    <w:pPr>
      <w:ind w:hanging="0" w:start="400" w:end="0"/>
    </w:pPr>
    <w:rPr>
      <w:i/>
      <w:iCs/>
      <w:szCs w:val="24"/>
    </w:rPr>
  </w:style>
  <w:style w:type="paragraph" w:styleId="TOC4">
    <w:name w:val="toc 4"/>
    <w:basedOn w:val="Normal"/>
    <w:next w:val="Normal"/>
    <w:pPr>
      <w:ind w:hanging="0" w:start="600" w:end="0"/>
    </w:pPr>
    <w:rPr>
      <w:szCs w:val="21"/>
    </w:rPr>
  </w:style>
  <w:style w:type="paragraph" w:styleId="TOC5">
    <w:name w:val="toc 5"/>
    <w:basedOn w:val="Normal"/>
    <w:next w:val="Normal"/>
    <w:pPr>
      <w:ind w:hanging="0" w:start="800" w:end="0"/>
    </w:pPr>
    <w:rPr>
      <w:szCs w:val="21"/>
    </w:rPr>
  </w:style>
  <w:style w:type="paragraph" w:styleId="TOC6">
    <w:name w:val="toc 6"/>
    <w:basedOn w:val="Normal"/>
    <w:next w:val="Normal"/>
    <w:pPr>
      <w:ind w:hanging="0" w:start="1000" w:end="0"/>
    </w:pPr>
    <w:rPr>
      <w:szCs w:val="21"/>
    </w:rPr>
  </w:style>
  <w:style w:type="paragraph" w:styleId="TOC7">
    <w:name w:val="toc 7"/>
    <w:basedOn w:val="Normal"/>
    <w:next w:val="Normal"/>
    <w:pPr>
      <w:ind w:hanging="0" w:start="1200" w:end="0"/>
    </w:pPr>
    <w:rPr>
      <w:szCs w:val="21"/>
    </w:rPr>
  </w:style>
  <w:style w:type="paragraph" w:styleId="TOC8">
    <w:name w:val="toc 8"/>
    <w:basedOn w:val="Normal"/>
    <w:next w:val="Normal"/>
    <w:pPr>
      <w:ind w:hanging="0" w:start="1400" w:end="0"/>
    </w:pPr>
    <w:rPr>
      <w:szCs w:val="21"/>
    </w:rPr>
  </w:style>
  <w:style w:type="paragraph" w:styleId="TOC9">
    <w:name w:val="toc 9"/>
    <w:basedOn w:val="Normal"/>
    <w:next w:val="Normal"/>
    <w:pPr>
      <w:ind w:hanging="0" w:start="1600" w:end="0"/>
    </w:pPr>
    <w:rPr>
      <w:szCs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bCs/>
      <w:sz w:val="3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3.wmf"/><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6.jpeg"/><Relationship Id="rId11" Type="http://schemas.openxmlformats.org/officeDocument/2006/relationships/image" Target="media/image6.jpeg"/><Relationship Id="rId12" Type="http://schemas.openxmlformats.org/officeDocument/2006/relationships/image" Target="media/image6.jpeg"/><Relationship Id="rId13" Type="http://schemas.openxmlformats.org/officeDocument/2006/relationships/image" Target="media/image6.jpeg"/><Relationship Id="rId14" Type="http://schemas.openxmlformats.org/officeDocument/2006/relationships/image" Target="media/image6.jpeg"/><Relationship Id="rId15" Type="http://schemas.openxmlformats.org/officeDocument/2006/relationships/image" Target="media/image6.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6.jpeg"/><Relationship Id="rId19" Type="http://schemas.openxmlformats.org/officeDocument/2006/relationships/image" Target="media/image4.jpeg"/><Relationship Id="rId20" Type="http://schemas.openxmlformats.org/officeDocument/2006/relationships/image" Target="media/image4.jpeg"/><Relationship Id="rId21" Type="http://schemas.openxmlformats.org/officeDocument/2006/relationships/image" Target="media/image6.jpeg"/><Relationship Id="rId22" Type="http://schemas.openxmlformats.org/officeDocument/2006/relationships/image" Target="media/image6.jpeg"/><Relationship Id="rId23" Type="http://schemas.openxmlformats.org/officeDocument/2006/relationships/image" Target="media/image5.jpeg"/><Relationship Id="rId24" Type="http://schemas.openxmlformats.org/officeDocument/2006/relationships/image" Target="media/image5.jpeg"/><Relationship Id="rId25" Type="http://schemas.openxmlformats.org/officeDocument/2006/relationships/oleObject" Target="embeddings/oleObject3.bin"/><Relationship Id="rId26" Type="http://schemas.openxmlformats.org/officeDocument/2006/relationships/image" Target="media/image3.wmf"/><Relationship Id="rId27" Type="http://schemas.openxmlformats.org/officeDocument/2006/relationships/image" Target="media/image4.jpeg"/><Relationship Id="rId28" Type="http://schemas.openxmlformats.org/officeDocument/2006/relationships/image" Target="media/image5.jpeg"/><Relationship Id="rId29" Type="http://schemas.openxmlformats.org/officeDocument/2006/relationships/image" Target="media/image4.jpeg"/><Relationship Id="rId30" Type="http://schemas.openxmlformats.org/officeDocument/2006/relationships/image" Target="media/image4.jpeg"/><Relationship Id="rId31" Type="http://schemas.openxmlformats.org/officeDocument/2006/relationships/image" Target="media/image6.jpeg"/><Relationship Id="rId32" Type="http://schemas.openxmlformats.org/officeDocument/2006/relationships/oleObject" Target="embeddings/oleObject4.bin"/><Relationship Id="rId33" Type="http://schemas.openxmlformats.org/officeDocument/2006/relationships/image" Target="media/image3.wmf"/><Relationship Id="rId34" Type="http://schemas.openxmlformats.org/officeDocument/2006/relationships/image" Target="media/image5.jpeg"/><Relationship Id="rId35" Type="http://schemas.openxmlformats.org/officeDocument/2006/relationships/image" Target="media/image4.jpeg"/><Relationship Id="rId36" Type="http://schemas.openxmlformats.org/officeDocument/2006/relationships/image" Target="media/image5.jpeg"/><Relationship Id="rId37" Type="http://schemas.openxmlformats.org/officeDocument/2006/relationships/oleObject" Target="embeddings/oleObject5.bin"/><Relationship Id="rId38" Type="http://schemas.openxmlformats.org/officeDocument/2006/relationships/image" Target="media/image3.wmf"/><Relationship Id="rId39" Type="http://schemas.openxmlformats.org/officeDocument/2006/relationships/image" Target="media/image5.jpeg"/><Relationship Id="rId40" Type="http://schemas.openxmlformats.org/officeDocument/2006/relationships/image" Target="media/image5.jpeg"/><Relationship Id="rId41" Type="http://schemas.openxmlformats.org/officeDocument/2006/relationships/image" Target="media/image4.jpeg"/><Relationship Id="rId42" Type="http://schemas.openxmlformats.org/officeDocument/2006/relationships/oleObject" Target="embeddings/oleObject6.bin"/><Relationship Id="rId43" Type="http://schemas.openxmlformats.org/officeDocument/2006/relationships/image" Target="media/image3.wmf"/><Relationship Id="rId44" Type="http://schemas.openxmlformats.org/officeDocument/2006/relationships/image" Target="media/image5.jpeg"/><Relationship Id="rId45" Type="http://schemas.openxmlformats.org/officeDocument/2006/relationships/image" Target="media/image6.jpeg"/><Relationship Id="rId46" Type="http://schemas.openxmlformats.org/officeDocument/2006/relationships/image" Target="media/image5.jpeg"/><Relationship Id="rId47" Type="http://schemas.openxmlformats.org/officeDocument/2006/relationships/image" Target="media/image6.jpeg"/><Relationship Id="rId48" Type="http://schemas.openxmlformats.org/officeDocument/2006/relationships/image" Target="media/image6.jpeg"/><Relationship Id="rId49" Type="http://schemas.openxmlformats.org/officeDocument/2006/relationships/image" Target="media/image6.jpeg"/><Relationship Id="rId50" Type="http://schemas.openxmlformats.org/officeDocument/2006/relationships/image" Target="media/image6.jpeg"/><Relationship Id="rId51" Type="http://schemas.openxmlformats.org/officeDocument/2006/relationships/image" Target="media/image4.jpeg"/><Relationship Id="rId52" Type="http://schemas.openxmlformats.org/officeDocument/2006/relationships/image" Target="media/image4.jpeg"/><Relationship Id="rId53" Type="http://schemas.openxmlformats.org/officeDocument/2006/relationships/image" Target="media/image6.jpeg"/><Relationship Id="rId54" Type="http://schemas.openxmlformats.org/officeDocument/2006/relationships/image" Target="media/image5.jpeg"/><Relationship Id="rId55" Type="http://schemas.openxmlformats.org/officeDocument/2006/relationships/image" Target="media/image5.jpeg"/><Relationship Id="rId56" Type="http://schemas.openxmlformats.org/officeDocument/2006/relationships/image" Target="media/image5.jpeg"/><Relationship Id="rId57" Type="http://schemas.openxmlformats.org/officeDocument/2006/relationships/image" Target="media/image4.jpeg"/><Relationship Id="rId58" Type="http://schemas.openxmlformats.org/officeDocument/2006/relationships/image" Target="media/image4.jpeg"/><Relationship Id="rId59" Type="http://schemas.openxmlformats.org/officeDocument/2006/relationships/image" Target="media/image6.jpeg"/><Relationship Id="rId60" Type="http://schemas.openxmlformats.org/officeDocument/2006/relationships/image" Target="media/image6.jpeg"/><Relationship Id="rId61" Type="http://schemas.openxmlformats.org/officeDocument/2006/relationships/image" Target="media/image6.jpeg"/><Relationship Id="rId62" Type="http://schemas.openxmlformats.org/officeDocument/2006/relationships/image" Target="media/image6.jpeg"/><Relationship Id="rId63" Type="http://schemas.openxmlformats.org/officeDocument/2006/relationships/image" Target="media/image6.jpeg"/><Relationship Id="rId64" Type="http://schemas.openxmlformats.org/officeDocument/2006/relationships/image" Target="media/image6.jpeg"/><Relationship Id="rId65" Type="http://schemas.openxmlformats.org/officeDocument/2006/relationships/image" Target="media/image4.jpeg"/><Relationship Id="rId66" Type="http://schemas.openxmlformats.org/officeDocument/2006/relationships/image" Target="media/image5.jpeg"/><Relationship Id="rId67" Type="http://schemas.openxmlformats.org/officeDocument/2006/relationships/image" Target="media/image6.jpeg"/><Relationship Id="rId68" Type="http://schemas.openxmlformats.org/officeDocument/2006/relationships/image" Target="media/image6.jpeg"/><Relationship Id="rId69" Type="http://schemas.openxmlformats.org/officeDocument/2006/relationships/image" Target="media/image6.jpeg"/><Relationship Id="rId70" Type="http://schemas.openxmlformats.org/officeDocument/2006/relationships/image" Target="media/image6.jpeg"/><Relationship Id="rId71" Type="http://schemas.openxmlformats.org/officeDocument/2006/relationships/image" Target="media/image6.jpeg"/><Relationship Id="rId72" Type="http://schemas.openxmlformats.org/officeDocument/2006/relationships/image" Target="media/image5.jpeg"/><Relationship Id="rId73" Type="http://schemas.openxmlformats.org/officeDocument/2006/relationships/image" Target="media/image6.jpeg"/><Relationship Id="rId74" Type="http://schemas.openxmlformats.org/officeDocument/2006/relationships/image" Target="media/image4.jpeg"/><Relationship Id="rId75" Type="http://schemas.openxmlformats.org/officeDocument/2006/relationships/image" Target="media/image6.jpeg"/><Relationship Id="rId76" Type="http://schemas.openxmlformats.org/officeDocument/2006/relationships/image" Target="media/image6.jpeg"/><Relationship Id="rId77" Type="http://schemas.openxmlformats.org/officeDocument/2006/relationships/image" Target="media/image6.jpeg"/><Relationship Id="rId78" Type="http://schemas.openxmlformats.org/officeDocument/2006/relationships/image" Target="media/image5.jpeg"/><Relationship Id="rId79" Type="http://schemas.openxmlformats.org/officeDocument/2006/relationships/image" Target="media/image6.jpeg"/><Relationship Id="rId80" Type="http://schemas.openxmlformats.org/officeDocument/2006/relationships/image" Target="media/image4.jpeg"/><Relationship Id="rId81" Type="http://schemas.openxmlformats.org/officeDocument/2006/relationships/image" Target="media/image6.jpeg"/><Relationship Id="rId82" Type="http://schemas.openxmlformats.org/officeDocument/2006/relationships/image" Target="media/image5.jpeg"/><Relationship Id="rId83" Type="http://schemas.openxmlformats.org/officeDocument/2006/relationships/oleObject" Target="embeddings/oleObject7.bin"/><Relationship Id="rId84" Type="http://schemas.openxmlformats.org/officeDocument/2006/relationships/image" Target="media/image3.wmf"/><Relationship Id="rId85" Type="http://schemas.openxmlformats.org/officeDocument/2006/relationships/oleObject" Target="embeddings/oleObject8.bin"/><Relationship Id="rId86" Type="http://schemas.openxmlformats.org/officeDocument/2006/relationships/image" Target="media/image3.wmf"/><Relationship Id="rId87" Type="http://schemas.openxmlformats.org/officeDocument/2006/relationships/image" Target="media/image6.jpeg"/><Relationship Id="rId88" Type="http://schemas.openxmlformats.org/officeDocument/2006/relationships/image" Target="media/image5.jpeg"/><Relationship Id="rId89" Type="http://schemas.openxmlformats.org/officeDocument/2006/relationships/image" Target="media/image5.jpeg"/><Relationship Id="rId90" Type="http://schemas.openxmlformats.org/officeDocument/2006/relationships/image" Target="media/image5.jpeg"/><Relationship Id="rId91" Type="http://schemas.openxmlformats.org/officeDocument/2006/relationships/oleObject" Target="embeddings/oleObject9.bin"/><Relationship Id="rId92" Type="http://schemas.openxmlformats.org/officeDocument/2006/relationships/image" Target="media/image3.wmf"/><Relationship Id="rId93" Type="http://schemas.openxmlformats.org/officeDocument/2006/relationships/oleObject" Target="embeddings/oleObject10.bin"/><Relationship Id="rId94" Type="http://schemas.openxmlformats.org/officeDocument/2006/relationships/image" Target="media/image3.wmf"/><Relationship Id="rId95" Type="http://schemas.openxmlformats.org/officeDocument/2006/relationships/image" Target="media/image4.jpeg"/><Relationship Id="rId96" Type="http://schemas.openxmlformats.org/officeDocument/2006/relationships/image" Target="media/image5.jpeg"/><Relationship Id="rId97" Type="http://schemas.openxmlformats.org/officeDocument/2006/relationships/image" Target="media/image5.jpeg"/><Relationship Id="rId98" Type="http://schemas.openxmlformats.org/officeDocument/2006/relationships/image" Target="media/image5.jpeg"/><Relationship Id="rId99" Type="http://schemas.openxmlformats.org/officeDocument/2006/relationships/oleObject" Target="embeddings/oleObject11.bin"/><Relationship Id="rId100" Type="http://schemas.openxmlformats.org/officeDocument/2006/relationships/image" Target="media/image3.wmf"/><Relationship Id="rId101" Type="http://schemas.openxmlformats.org/officeDocument/2006/relationships/oleObject" Target="embeddings/oleObject12.bin"/><Relationship Id="rId102" Type="http://schemas.openxmlformats.org/officeDocument/2006/relationships/image" Target="media/image3.wmf"/><Relationship Id="rId103" Type="http://schemas.openxmlformats.org/officeDocument/2006/relationships/oleObject" Target="embeddings/oleObject13.bin"/><Relationship Id="rId104" Type="http://schemas.openxmlformats.org/officeDocument/2006/relationships/image" Target="media/image3.wmf"/><Relationship Id="rId105" Type="http://schemas.openxmlformats.org/officeDocument/2006/relationships/image" Target="media/image4.jpeg"/><Relationship Id="rId106" Type="http://schemas.openxmlformats.org/officeDocument/2006/relationships/image" Target="media/image4.jpeg"/><Relationship Id="rId107" Type="http://schemas.openxmlformats.org/officeDocument/2006/relationships/image" Target="media/image5.jpeg"/><Relationship Id="rId108" Type="http://schemas.openxmlformats.org/officeDocument/2006/relationships/image" Target="media/image6.jpeg"/><Relationship Id="rId109" Type="http://schemas.openxmlformats.org/officeDocument/2006/relationships/image" Target="media/image6.jpeg"/><Relationship Id="rId110" Type="http://schemas.openxmlformats.org/officeDocument/2006/relationships/image" Target="media/image6.jpeg"/><Relationship Id="rId111" Type="http://schemas.openxmlformats.org/officeDocument/2006/relationships/image" Target="media/image6.jpeg"/><Relationship Id="rId112" Type="http://schemas.openxmlformats.org/officeDocument/2006/relationships/image" Target="media/image6.jpeg"/><Relationship Id="rId113" Type="http://schemas.openxmlformats.org/officeDocument/2006/relationships/image" Target="media/image5.jpeg"/><Relationship Id="rId114" Type="http://schemas.openxmlformats.org/officeDocument/2006/relationships/image" Target="media/image5.jpeg"/><Relationship Id="rId115" Type="http://schemas.openxmlformats.org/officeDocument/2006/relationships/image" Target="media/image4.jpeg"/><Relationship Id="rId116" Type="http://schemas.openxmlformats.org/officeDocument/2006/relationships/image" Target="media/image5.jpeg"/><Relationship Id="rId117" Type="http://schemas.openxmlformats.org/officeDocument/2006/relationships/image" Target="media/image5.jpeg"/><Relationship Id="rId118" Type="http://schemas.openxmlformats.org/officeDocument/2006/relationships/image" Target="media/image6.jpeg"/><Relationship Id="rId119" Type="http://schemas.openxmlformats.org/officeDocument/2006/relationships/image" Target="media/image5.jpeg"/><Relationship Id="rId120" Type="http://schemas.openxmlformats.org/officeDocument/2006/relationships/oleObject" Target="embeddings/oleObject14.bin"/><Relationship Id="rId121" Type="http://schemas.openxmlformats.org/officeDocument/2006/relationships/image" Target="media/image3.wmf"/><Relationship Id="rId122" Type="http://schemas.openxmlformats.org/officeDocument/2006/relationships/oleObject" Target="embeddings/oleObject15.bin"/><Relationship Id="rId123" Type="http://schemas.openxmlformats.org/officeDocument/2006/relationships/image" Target="media/image3.wmf"/><Relationship Id="rId124" Type="http://schemas.openxmlformats.org/officeDocument/2006/relationships/oleObject" Target="embeddings/oleObject16.bin"/><Relationship Id="rId125" Type="http://schemas.openxmlformats.org/officeDocument/2006/relationships/image" Target="media/image3.wmf"/><Relationship Id="rId126" Type="http://schemas.openxmlformats.org/officeDocument/2006/relationships/oleObject" Target="embeddings/oleObject17.bin"/><Relationship Id="rId127" Type="http://schemas.openxmlformats.org/officeDocument/2006/relationships/image" Target="media/image3.wmf"/><Relationship Id="rId128" Type="http://schemas.openxmlformats.org/officeDocument/2006/relationships/image" Target="media/image6.jpeg"/><Relationship Id="rId129" Type="http://schemas.openxmlformats.org/officeDocument/2006/relationships/image" Target="media/image6.jpeg"/><Relationship Id="rId130" Type="http://schemas.openxmlformats.org/officeDocument/2006/relationships/image" Target="media/image6.jpeg"/><Relationship Id="rId131" Type="http://schemas.openxmlformats.org/officeDocument/2006/relationships/image" Target="media/image4.jpeg"/><Relationship Id="rId132" Type="http://schemas.openxmlformats.org/officeDocument/2006/relationships/image" Target="media/image5.jpeg"/><Relationship Id="rId133" Type="http://schemas.openxmlformats.org/officeDocument/2006/relationships/image" Target="media/image5.jpeg"/><Relationship Id="rId134" Type="http://schemas.openxmlformats.org/officeDocument/2006/relationships/image" Target="media/image6.jpeg"/><Relationship Id="rId135" Type="http://schemas.openxmlformats.org/officeDocument/2006/relationships/image" Target="media/image5.jpeg"/><Relationship Id="rId136" Type="http://schemas.openxmlformats.org/officeDocument/2006/relationships/oleObject" Target="embeddings/oleObject18.bin"/><Relationship Id="rId137" Type="http://schemas.openxmlformats.org/officeDocument/2006/relationships/image" Target="media/image3.wmf"/><Relationship Id="rId138" Type="http://schemas.openxmlformats.org/officeDocument/2006/relationships/image" Target="media/image5.jpeg"/><Relationship Id="rId139" Type="http://schemas.openxmlformats.org/officeDocument/2006/relationships/image" Target="media/image6.jpeg"/><Relationship Id="rId140" Type="http://schemas.openxmlformats.org/officeDocument/2006/relationships/image" Target="media/image4.jpeg"/><Relationship Id="rId141" Type="http://schemas.openxmlformats.org/officeDocument/2006/relationships/image" Target="media/image4.jpeg"/><Relationship Id="rId142" Type="http://schemas.openxmlformats.org/officeDocument/2006/relationships/image" Target="media/image6.jpeg"/><Relationship Id="rId143" Type="http://schemas.openxmlformats.org/officeDocument/2006/relationships/image" Target="media/image6.jpeg"/><Relationship Id="rId144" Type="http://schemas.openxmlformats.org/officeDocument/2006/relationships/image" Target="media/image5.jpeg"/><Relationship Id="rId145" Type="http://schemas.openxmlformats.org/officeDocument/2006/relationships/image" Target="media/image5.jpeg"/><Relationship Id="rId146" Type="http://schemas.openxmlformats.org/officeDocument/2006/relationships/image" Target="media/image6.jpeg"/><Relationship Id="rId147" Type="http://schemas.openxmlformats.org/officeDocument/2006/relationships/image" Target="media/image5.jpeg"/><Relationship Id="rId148" Type="http://schemas.openxmlformats.org/officeDocument/2006/relationships/image" Target="media/image5.jpeg"/><Relationship Id="rId149" Type="http://schemas.openxmlformats.org/officeDocument/2006/relationships/image" Target="media/image6.jpeg"/><Relationship Id="rId150" Type="http://schemas.openxmlformats.org/officeDocument/2006/relationships/image" Target="media/image6.jpeg"/><Relationship Id="rId151" Type="http://schemas.openxmlformats.org/officeDocument/2006/relationships/image" Target="media/image4.jpeg"/><Relationship Id="rId152" Type="http://schemas.openxmlformats.org/officeDocument/2006/relationships/image" Target="media/image4.jpeg"/><Relationship Id="rId153" Type="http://schemas.openxmlformats.org/officeDocument/2006/relationships/image" Target="media/image4.jpeg"/><Relationship Id="rId154" Type="http://schemas.openxmlformats.org/officeDocument/2006/relationships/image" Target="media/image6.jpeg"/><Relationship Id="rId155" Type="http://schemas.openxmlformats.org/officeDocument/2006/relationships/image" Target="media/image4.jpeg"/><Relationship Id="rId156" Type="http://schemas.openxmlformats.org/officeDocument/2006/relationships/image" Target="media/image4.jpeg"/><Relationship Id="rId157" Type="http://schemas.openxmlformats.org/officeDocument/2006/relationships/image" Target="media/image6.jpeg"/><Relationship Id="rId158" Type="http://schemas.openxmlformats.org/officeDocument/2006/relationships/image" Target="media/image6.jpeg"/><Relationship Id="rId159" Type="http://schemas.openxmlformats.org/officeDocument/2006/relationships/image" Target="media/image6.jpeg"/><Relationship Id="rId160" Type="http://schemas.openxmlformats.org/officeDocument/2006/relationships/image" Target="media/image6.jpeg"/><Relationship Id="rId161" Type="http://schemas.openxmlformats.org/officeDocument/2006/relationships/image" Target="media/image6.jpeg"/><Relationship Id="rId162" Type="http://schemas.openxmlformats.org/officeDocument/2006/relationships/footer" Target="footer1.xml"/><Relationship Id="rId163" Type="http://schemas.openxmlformats.org/officeDocument/2006/relationships/footer" Target="footer2.xml"/><Relationship Id="rId164" Type="http://schemas.openxmlformats.org/officeDocument/2006/relationships/numbering" Target="numbering.xml"/><Relationship Id="rId165" Type="http://schemas.openxmlformats.org/officeDocument/2006/relationships/fontTable" Target="fontTable.xml"/><Relationship Id="rId166" Type="http://schemas.openxmlformats.org/officeDocument/2006/relationships/settings" Target="settings.xml"/><Relationship Id="rId1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2000-02-11T15:00:00Z</dcterms:created>
  <dc:creator>Louis Lalonde</dc:creator>
  <dc:description/>
  <dc:language>en-CA</dc:language>
  <cp:lastModifiedBy>Cameron Sellers</cp:lastModifiedBy>
  <cp:lastPrinted>2000-02-11T08:43:00Z</cp:lastPrinted>
  <dcterms:modified xsi:type="dcterms:W3CDTF">2000-02-11T15:00:00Z</dcterms:modified>
  <cp:revision>2</cp:revision>
  <dc:subject/>
  <dc:title> </dc:title>
</cp:coreProperties>
</file>