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numPr>
          <w:ilvl w:val="0"/>
          <w:numId w:val="1"/>
        </w:numPr>
        <w:tabs>
          <w:tab w:val="clear" w:pos="720"/>
        </w:tabs>
        <w:ind w:hanging="720" w:start="720" w:end="0"/>
        <w:rPr>
          <w:sz w:val="20"/>
        </w:rPr>
      </w:pPr>
      <w:r>
        <w:rPr>
          <w:sz w:val="20"/>
        </w:rPr>
        <w:t>Do you think it makes sense for the FASB to require consolidation of all controlled investee companies?</w:t>
      </w:r>
    </w:p>
    <w:p>
      <w:pPr>
        <w:pStyle w:val="Normal"/>
        <w:ind w:hanging="720" w:start="720" w:end="0"/>
        <w:rPr>
          <w:sz w:val="20"/>
        </w:rPr>
      </w:pPr>
      <w:r>
        <w:rPr>
          <w:sz w:val="20"/>
        </w:rPr>
      </w:r>
    </w:p>
    <w:p>
      <w:pPr>
        <w:pStyle w:val="BodyTextIndent2"/>
        <w:rPr>
          <w:sz w:val="20"/>
        </w:rPr>
      </w:pPr>
      <w:r>
        <w:rPr>
          <w:sz w:val="20"/>
        </w:rPr>
        <w:t>While consolidation is generally preferable, it may not make sense in every case.  If two companies are engaged in dramatically different businesses, consolidation may provide little useful information and may in fact obscure things.  For example, by consolidating GE Capital with GE Power Turbines, the analyst would have a difficult time assessing the individual performance of either GE Capital or GE Power Turbines absent detailed notes to the financial report.  Requiring that companies provide both consolidated and unconsolidated financials might help in these cases, though the cost of providing both needs to be considered.</w:t>
      </w:r>
    </w:p>
    <w:p>
      <w:pPr>
        <w:pStyle w:val="Normal"/>
        <w:ind w:firstLine="720" w:end="0"/>
        <w:rPr>
          <w:sz w:val="20"/>
        </w:rPr>
      </w:pPr>
      <w:r>
        <w:rPr>
          <w:sz w:val="20"/>
        </w:rPr>
      </w:r>
    </w:p>
    <w:p>
      <w:pPr>
        <w:pStyle w:val="BodyTextIndent"/>
        <w:rPr>
          <w:sz w:val="20"/>
        </w:rPr>
      </w:pPr>
      <w:r>
        <w:rPr>
          <w:sz w:val="20"/>
        </w:rPr>
        <w:t>4.</w:t>
        <w:tab/>
        <w:t xml:space="preserve">Assume the company sold 50% of its stock in Mohawk to a joint venture partner.  How should Productos Azteca’s joint venture interest be reflected in the Productos Azteca consolidated statements?    </w:t>
      </w:r>
    </w:p>
    <w:p>
      <w:pPr>
        <w:pStyle w:val="Normal"/>
        <w:rPr>
          <w:sz w:val="20"/>
        </w:rPr>
      </w:pPr>
      <w:r>
        <w:rPr>
          <w:sz w:val="20"/>
        </w:rPr>
      </w:r>
    </w:p>
    <w:p>
      <w:pPr>
        <w:pStyle w:val="Normal"/>
        <w:ind w:firstLine="720" w:end="0"/>
        <w:rPr>
          <w:sz w:val="20"/>
        </w:rPr>
      </w:pPr>
      <w:r>
        <w:rPr>
          <w:sz w:val="20"/>
        </w:rPr>
        <w:t>Royal Decree 1815/1991 permits Azteca to use either the equity method or the proportionate method to reflect the sale of 50% of Mohawk stock to a joint venture partner.  However, if reporting in the US, and assuming that Azteca retained control, Azteca would be required to consolidate.  If reporting in the US and assuming that Azteca shared control, Azteca would exclude Mohawk from consolidation and employ the equity method.</w:t>
      </w:r>
    </w:p>
    <w:p>
      <w:pPr>
        <w:pStyle w:val="Normal"/>
        <w:rPr>
          <w:sz w:val="20"/>
        </w:rPr>
      </w:pPr>
      <w:r>
        <w:rPr>
          <w:sz w:val="20"/>
        </w:rPr>
      </w:r>
    </w:p>
    <w:p>
      <w:pPr>
        <w:pStyle w:val="Normal"/>
        <w:ind w:firstLine="720" w:end="0"/>
        <w:rPr>
          <w:i/>
          <w:i/>
          <w:iCs/>
          <w:sz w:val="20"/>
        </w:rPr>
      </w:pPr>
      <w:r>
        <w:rPr>
          <w:i/>
          <w:iCs/>
          <w:sz w:val="20"/>
        </w:rPr>
        <w:t>Would you change your decision if the joint venture was jointly controlled?</w:t>
      </w:r>
    </w:p>
    <w:p>
      <w:pPr>
        <w:pStyle w:val="Normal"/>
        <w:rPr>
          <w:i/>
          <w:i/>
          <w:iCs/>
          <w:sz w:val="20"/>
        </w:rPr>
      </w:pPr>
      <w:r>
        <w:rPr>
          <w:i/>
          <w:iCs/>
          <w:sz w:val="20"/>
        </w:rPr>
      </w:r>
    </w:p>
    <w:p>
      <w:pPr>
        <w:pStyle w:val="Normal"/>
        <w:rPr>
          <w:sz w:val="20"/>
        </w:rPr>
      </w:pPr>
      <w:r>
        <w:rPr>
          <w:sz w:val="20"/>
        </w:rPr>
        <w:t>If the joint venture were jointly controlled, Azteca could exclude Mohawk from consolidation and employ either the equity or proportionate method.</w:t>
      </w:r>
    </w:p>
    <w:p>
      <w:pPr>
        <w:pStyle w:val="Normal"/>
        <w:rPr>
          <w:sz w:val="20"/>
        </w:rPr>
      </w:pPr>
      <w:r>
        <w:rPr>
          <w:sz w:val="20"/>
        </w:rPr>
      </w:r>
    </w:p>
    <w:p>
      <w:pPr>
        <w:pStyle w:val="Normal"/>
        <w:ind w:firstLine="720" w:end="0"/>
        <w:rPr>
          <w:sz w:val="20"/>
        </w:rPr>
      </w:pPr>
      <w:r>
        <w:rPr>
          <w:i/>
          <w:iCs/>
          <w:sz w:val="20"/>
        </w:rPr>
        <w:t>If Productos Azteca has sole control?</w:t>
      </w:r>
    </w:p>
    <w:p>
      <w:pPr>
        <w:pStyle w:val="Normal"/>
        <w:ind w:firstLine="720" w:end="0"/>
        <w:rPr>
          <w:sz w:val="20"/>
        </w:rPr>
      </w:pPr>
      <w:r>
        <w:rPr>
          <w:sz w:val="20"/>
        </w:rPr>
      </w:r>
    </w:p>
    <w:p>
      <w:pPr>
        <w:pStyle w:val="Normal"/>
        <w:ind w:firstLine="720" w:end="0"/>
        <w:rPr>
          <w:sz w:val="20"/>
        </w:rPr>
      </w:pPr>
      <w:r>
        <w:rPr>
          <w:sz w:val="20"/>
        </w:rPr>
        <w:t>If Azteca maintained sole control, Royal Decree 1815/1991 permits Azteca to exclude Mohawk from consolidation and use the equity or proportionate method.  FASB would require Azteca to consolidate, however, due to Azteca’s sole control.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i/>
      <w:iCs/>
    </w:rPr>
  </w:style>
  <w:style w:type="paragraph" w:styleId="BodyTextIndent2">
    <w:name w:val="Body Text Indent 2"/>
    <w:basedOn w:val="Normal"/>
    <w:qFormat/>
    <w:pPr>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2000-10-07T16:26:00Z</dcterms:created>
  <dc:creator>jdasovic</dc:creator>
  <dc:description/>
  <dc:language>en-CA</dc:language>
  <cp:lastModifiedBy>jdasovic</cp:lastModifiedBy>
  <dcterms:modified xsi:type="dcterms:W3CDTF">2000-10-07T17:11:00Z</dcterms:modified>
  <cp:revision>5</cp:revision>
  <dc:subject/>
  <dc:title>Immaterial</dc:title>
</cp:coreProperties>
</file>