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  <w:t>Bammel Neon Groups</w:t>
      </w:r>
    </w:p>
    <w:p>
      <w:pPr>
        <w:pStyle w:val="Normal"/>
        <w:jc w:val="center"/>
        <w:rPr>
          <w:rFonts w:ascii="Wide Latin" w:hAnsi="Wide Latin" w:cs="Wide Latin"/>
          <w:b/>
          <w:bCs/>
          <w:sz w:val="28"/>
          <w:u w:val="single"/>
        </w:rPr>
      </w:pPr>
      <w:r>
        <w:rPr>
          <w:rFonts w:cs="Wide Latin" w:ascii="Wide Latin" w:hAnsi="Wide Latin"/>
          <w:b/>
          <w:bCs/>
          <w:sz w:val="28"/>
          <w:u w:val="single"/>
        </w:rPr>
      </w:r>
    </w:p>
    <w:p>
      <w:pPr>
        <w:pStyle w:val="Subtitle"/>
        <w:rPr/>
      </w:pPr>
      <w:r>
        <w:rPr/>
        <w:t>Awesome Agenda</w:t>
      </w:r>
    </w:p>
    <w:p>
      <w:pPr>
        <w:pStyle w:val="Normal"/>
        <w:ind w:start="720" w:end="0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2"/>
        <w:ind w:start="0" w:end="0"/>
        <w:rPr/>
      </w:pPr>
      <w:r>
        <w:rPr/>
        <w:t>Getting Started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>
          <w:rFonts w:cs="Garamond" w:ascii="Garamond" w:hAnsi="Garamond"/>
        </w:rPr>
        <w:t xml:space="preserve">1.  If you could invite one athlete, actor/actress, or musician </w:t>
      </w:r>
      <w:r>
        <w:rPr>
          <w:rFonts w:cs="Garamond" w:ascii="Garamond" w:hAnsi="Garamond"/>
          <w:i/>
          <w:iCs/>
        </w:rPr>
        <w:t>that you feel you could relate with</w:t>
      </w:r>
      <w:r>
        <w:rPr>
          <w:rFonts w:cs="Garamond" w:ascii="Garamond" w:hAnsi="Garamond"/>
        </w:rPr>
        <w:t xml:space="preserve"> to dinner, who would it be?  Why?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2.  What if your dinner guest was Jesus, how would that dinner be different?  What would you talk about?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3.  Does Jesus seem like a close friend you hang out with, or do you view him like a stain glass figure with the yellow glow around his head?  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rPr/>
      </w:pPr>
      <w:r>
        <w:rPr/>
        <w:t>Looking to the Word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  <w:tab/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  <w:tab/>
        <w:t>Read John 1:1-5, 10-18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  <w:tab/>
        <w:t>1.  Who is the “word” mentioned in vs. 1?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2.  In vs. 10, it says that the world did not “recognize him.”  Why do you think John included this?  How do people today make the same mistake?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3.  What does vs. 14 say about Jesus?  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4.  Is it truly possible for Jesus to be both God and man?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5.  Why was it so important for Jesus to “make his dwelling among us?”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  <w:tab/>
        <w:t>Read Hebrews 4:14-16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6.  Why do you think the Hebrew writer relayed that Jesus had been “tempted in every way?”  Why is that important?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rPr/>
      </w:pPr>
      <w:r>
        <w:rPr/>
        <w:t>What is in it for Us?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1.  If you really felt you could relate with Jesus, and he with you, how would this change your relationship with him?</w:t>
      </w:r>
    </w:p>
    <w:p>
      <w:pPr>
        <w:pStyle w:val="Normal"/>
        <w:ind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2.  What are some ways in which we can relate Jesus to outsiders by explaining his “Godliness” and his “humanness?”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  <w:tab/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de Latin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Garamond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Wide Latin" w:hAnsi="Wide Latin" w:cs="Wide Latin"/>
      <w:b/>
      <w:bC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Wide Latin" w:hAnsi="Wide Latin" w:cs="Wide Latin"/>
      <w:b/>
      <w:bCs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2001-10-02T16:48:00Z</dcterms:created>
  <dc:creator>Compaq Customer</dc:creator>
  <dc:description/>
  <dc:language>en-CA</dc:language>
  <cp:lastModifiedBy>Compaq Customer</cp:lastModifiedBy>
  <dcterms:modified xsi:type="dcterms:W3CDTF">2001-10-02T16:49:00Z</dcterms:modified>
  <cp:revision>1</cp:revision>
  <dc:subject/>
  <dc:title>Bammel Neon Groups</dc:title>
</cp:coreProperties>
</file>