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DISCUSSION OUTLINE FOR GAS SALES,AND SERVICES</w:t>
      </w:r>
    </w:p>
    <w:p>
      <w:pPr>
        <w:pStyle w:val="CommentText"/>
        <w:rPr/>
      </w:pPr>
      <w:r>
        <w:rPr/>
      </w:r>
    </w:p>
    <w:p>
      <w:pPr>
        <w:pStyle w:val="CommentText"/>
        <w:rPr/>
      </w:pPr>
      <w:r>
        <w:rPr/>
      </w:r>
    </w:p>
    <w:p>
      <w:pPr>
        <w:pStyle w:val="Normal"/>
        <w:rPr/>
      </w:pPr>
      <w:r>
        <w:rPr>
          <w:b/>
        </w:rPr>
        <w:t>SERVICES OFFERED</w:t>
      </w:r>
      <w:r>
        <w:rPr/>
        <w:tab/>
        <w:tab/>
        <w:tab/>
        <w:t>Energy Scheduling</w:t>
      </w:r>
    </w:p>
    <w:p>
      <w:pPr>
        <w:pStyle w:val="Normal"/>
        <w:rPr/>
      </w:pPr>
      <w:r>
        <w:rPr/>
        <w:tab/>
        <w:tab/>
        <w:tab/>
        <w:tab/>
        <w:tab/>
        <w:t>Gas Scheduling</w:t>
      </w:r>
    </w:p>
    <w:p>
      <w:pPr>
        <w:pStyle w:val="Normal"/>
        <w:rPr/>
      </w:pPr>
      <w:r>
        <w:rPr/>
        <w:tab/>
        <w:tab/>
        <w:tab/>
        <w:tab/>
        <w:tab/>
        <w:t>Real Time Energy Firming</w:t>
      </w:r>
    </w:p>
    <w:p>
      <w:pPr>
        <w:pStyle w:val="Normal"/>
        <w:rPr/>
      </w:pPr>
      <w:r>
        <w:rPr/>
        <w:tab/>
        <w:tab/>
        <w:tab/>
        <w:tab/>
        <w:tab/>
        <w:t>Gas Remarketing and Imbalance Settlement</w:t>
      </w:r>
    </w:p>
    <w:p>
      <w:pPr>
        <w:pStyle w:val="Normal"/>
        <w:rPr/>
      </w:pPr>
      <w:r>
        <w:rPr/>
        <w:tab/>
        <w:tab/>
        <w:tab/>
        <w:tab/>
        <w:tab/>
        <w:t>California Schedule Coordination</w:t>
      </w:r>
    </w:p>
    <w:p>
      <w:pPr>
        <w:pStyle w:val="Normal"/>
        <w:rPr/>
      </w:pPr>
      <w:r>
        <w:rPr/>
        <w:tab/>
        <w:tab/>
        <w:tab/>
        <w:tab/>
        <w:tab/>
        <w:t>Decision Support Information</w:t>
      </w:r>
    </w:p>
    <w:p>
      <w:pPr>
        <w:pStyle w:val="Normal"/>
        <w:rPr/>
      </w:pPr>
      <w:r>
        <w:rPr/>
        <w:tab/>
        <w:tab/>
        <w:tab/>
        <w:tab/>
        <w:tab/>
        <w:t>Real Time Generation Information</w:t>
      </w:r>
    </w:p>
    <w:p>
      <w:pPr>
        <w:pStyle w:val="Normal"/>
        <w:rPr/>
      </w:pPr>
      <w:r>
        <w:rPr/>
        <w:tab/>
        <w:tab/>
        <w:tab/>
        <w:tab/>
        <w:tab/>
        <w:t>Accounting and Billing Support</w:t>
      </w:r>
    </w:p>
    <w:p>
      <w:pPr>
        <w:pStyle w:val="Normal"/>
        <w:rPr/>
      </w:pPr>
      <w:r>
        <w:rPr/>
        <w:tab/>
        <w:tab/>
        <w:tab/>
        <w:tab/>
        <w:tab/>
        <w:t>(collectively referred to as the “Services”)</w:t>
      </w:r>
    </w:p>
    <w:p>
      <w:pPr>
        <w:pStyle w:val="Normal"/>
        <w:rPr/>
      </w:pPr>
      <w:r>
        <w:rPr/>
      </w:r>
    </w:p>
    <w:p>
      <w:pPr>
        <w:pStyle w:val="Normal"/>
        <w:rPr/>
      </w:pPr>
      <w:r>
        <w:rPr>
          <w:b/>
        </w:rPr>
        <w:t>PRICE</w:t>
      </w:r>
      <w:r>
        <w:rPr/>
        <w:tab/>
        <w:tab/>
        <w:tab/>
        <w:tab/>
        <w:tab/>
        <w:t>3% of the value created (or market price less variable costs)</w:t>
      </w:r>
    </w:p>
    <w:p>
      <w:pPr>
        <w:pStyle w:val="Normal"/>
        <w:rPr/>
      </w:pPr>
      <w:r>
        <w:rPr/>
        <w:tab/>
        <w:tab/>
        <w:tab/>
        <w:tab/>
        <w:tab/>
        <w:t xml:space="preserve">8% when EPMI’s firm transmission is utilized for sales to access significantly </w:t>
        <w:tab/>
        <w:tab/>
        <w:tab/>
        <w:tab/>
        <w:tab/>
        <w:tab/>
        <w:t>higher priced California markets</w:t>
      </w:r>
    </w:p>
    <w:p>
      <w:pPr>
        <w:pStyle w:val="Normal"/>
        <w:rPr/>
      </w:pPr>
      <w:r>
        <w:rPr/>
        <w:tab/>
        <w:tab/>
        <w:tab/>
        <w:tab/>
        <w:tab/>
      </w:r>
    </w:p>
    <w:p>
      <w:pPr>
        <w:pStyle w:val="Normal"/>
        <w:rPr/>
      </w:pPr>
      <w:r>
        <w:rPr/>
        <w:tab/>
        <w:tab/>
        <w:tab/>
        <w:tab/>
        <w:tab/>
      </w:r>
    </w:p>
    <w:p>
      <w:pPr>
        <w:pStyle w:val="Normal"/>
        <w:rPr/>
      </w:pPr>
      <w:r>
        <w:rPr>
          <w:b/>
        </w:rPr>
        <w:t>TERM</w:t>
      </w:r>
      <w:r>
        <w:rPr/>
        <w:tab/>
        <w:tab/>
        <w:tab/>
        <w:tab/>
        <w:tab/>
        <w:t>June 1, 2002 through May 31, 2012</w:t>
      </w:r>
    </w:p>
    <w:p>
      <w:pPr>
        <w:pStyle w:val="Normal"/>
        <w:rPr/>
      </w:pPr>
      <w:r>
        <w:rPr/>
      </w:r>
    </w:p>
    <w:p>
      <w:pPr>
        <w:pStyle w:val="Normal"/>
        <w:rPr/>
      </w:pPr>
      <w:r>
        <w:rPr>
          <w:b/>
        </w:rPr>
        <w:t>PLANT</w:t>
      </w:r>
      <w:r>
        <w:rPr/>
        <w:tab/>
        <w:tab/>
        <w:tab/>
        <w:tab/>
        <w:tab/>
        <w:t xml:space="preserve">Coyote Springs 2 </w:t>
      </w:r>
    </w:p>
    <w:p>
      <w:pPr>
        <w:pStyle w:val="Normal"/>
        <w:ind w:firstLine="720" w:start="2880" w:end="0"/>
        <w:rPr/>
      </w:pPr>
      <w:r>
        <w:rPr/>
        <w:t>(herein referred to as “CS2” or the “Facility”)</w:t>
      </w:r>
    </w:p>
    <w:p>
      <w:pPr>
        <w:pStyle w:val="Normal"/>
        <w:rPr/>
      </w:pPr>
      <w:r>
        <w:rPr/>
        <w:tab/>
        <w:tab/>
        <w:tab/>
        <w:tab/>
        <w:tab/>
      </w:r>
    </w:p>
    <w:p>
      <w:pPr>
        <w:pStyle w:val="Normal"/>
        <w:rPr/>
      </w:pPr>
      <w:r>
        <w:rPr>
          <w:b/>
        </w:rPr>
        <w:t>TOTAL CAPACITY</w:t>
      </w:r>
      <w:r>
        <w:rPr/>
        <w:tab/>
        <w:tab/>
        <w:tab/>
        <w:t>280 MW</w:t>
      </w:r>
    </w:p>
    <w:p>
      <w:pPr>
        <w:pStyle w:val="Normal"/>
        <w:rPr/>
      </w:pPr>
      <w:r>
        <w:rPr/>
      </w:r>
    </w:p>
    <w:p>
      <w:pPr>
        <w:pStyle w:val="Normal"/>
        <w:rPr/>
      </w:pPr>
      <w:r>
        <w:rPr>
          <w:b/>
        </w:rPr>
        <w:t>CAPACITY BREAKDOWN</w:t>
      </w:r>
      <w:r>
        <w:rPr/>
        <w:tab/>
        <w:tab/>
        <w:t xml:space="preserve">260 MW at 6800 Heat Rate </w:t>
      </w:r>
    </w:p>
    <w:p>
      <w:pPr>
        <w:pStyle w:val="Normal"/>
        <w:ind w:firstLine="720" w:start="2880" w:end="0"/>
        <w:rPr/>
      </w:pPr>
      <w:r>
        <w:rPr/>
        <w:t>20 MW of duct firing at 9000 Heat Rate</w:t>
      </w:r>
    </w:p>
    <w:p>
      <w:pPr>
        <w:pStyle w:val="Normal"/>
        <w:rPr/>
      </w:pPr>
      <w:r>
        <w:rPr/>
      </w:r>
    </w:p>
    <w:p>
      <w:pPr>
        <w:pStyle w:val="Normal"/>
        <w:rPr/>
      </w:pPr>
      <w:r>
        <w:rPr/>
      </w:r>
    </w:p>
    <w:p>
      <w:pPr>
        <w:pStyle w:val="Heading1"/>
        <w:ind w:hanging="0" w:start="0"/>
        <w:rPr/>
      </w:pPr>
      <w:r>
        <w:rPr/>
        <w:t>OTHER</w:t>
      </w:r>
    </w:p>
    <w:p>
      <w:pPr>
        <w:pStyle w:val="Normal"/>
        <w:rPr/>
      </w:pPr>
      <w:r>
        <w:rPr/>
      </w:r>
    </w:p>
    <w:p>
      <w:pPr>
        <w:pStyle w:val="Normal"/>
        <w:rPr/>
      </w:pPr>
      <w:r>
        <w:rPr/>
        <w:t>1.</w:t>
        <w:tab/>
      </w:r>
      <w:r>
        <w:rPr>
          <w:b/>
          <w:u w:val="single"/>
        </w:rPr>
        <w:t>Dedicated Account Manager:</w:t>
      </w:r>
    </w:p>
    <w:p>
      <w:pPr>
        <w:pStyle w:val="Normal"/>
        <w:rPr>
          <w:b/>
          <w:u w:val="single"/>
        </w:rPr>
      </w:pPr>
      <w:r>
        <w:rPr>
          <w:b/>
          <w:u w:val="single"/>
        </w:rPr>
      </w:r>
    </w:p>
    <w:p>
      <w:pPr>
        <w:pStyle w:val="Normal"/>
        <w:rPr/>
      </w:pPr>
      <w:r>
        <w:rPr/>
        <w:t xml:space="preserve">Enron will maintain on its staff one person (the “Account Manager”) whose primary responsibility is to manage all aspects of this Transaction Agreement and coordinate the provision of the Services with the various departments within EPMI or its designee(s) through which the Services will be performed.   EPMI shall provide Avista with written notice in the event that there is a change of Account Manager. </w:t>
      </w:r>
    </w:p>
    <w:p>
      <w:pPr>
        <w:pStyle w:val="Normal"/>
        <w:rPr/>
      </w:pPr>
      <w:r>
        <w:rPr/>
      </w:r>
    </w:p>
    <w:p>
      <w:pPr>
        <w:pStyle w:val="Normal"/>
        <w:rPr/>
      </w:pPr>
      <w:r>
        <w:rPr/>
        <w:t>2.</w:t>
        <w:tab/>
      </w:r>
      <w:r>
        <w:rPr>
          <w:b/>
          <w:u w:val="single"/>
        </w:rPr>
        <w:t>Energy Scheduling:</w:t>
      </w:r>
    </w:p>
    <w:p>
      <w:pPr>
        <w:pStyle w:val="Normal"/>
        <w:rPr>
          <w:b/>
          <w:u w:val="single"/>
        </w:rPr>
      </w:pPr>
      <w:r>
        <w:rPr>
          <w:b/>
          <w:u w:val="single"/>
        </w:rPr>
      </w:r>
    </w:p>
    <w:p>
      <w:pPr>
        <w:pStyle w:val="Normal"/>
        <w:rPr/>
      </w:pPr>
      <w:r>
        <w:rPr/>
        <w:t xml:space="preserve">EPMI would perform the scheduling of energy for the appropriate markets, including transmission, scheduling and bidding in California. Energy scheduling would be performed consistent with standard industry practices. </w:t>
      </w:r>
    </w:p>
    <w:p>
      <w:pPr>
        <w:pStyle w:val="Normal"/>
        <w:rPr/>
      </w:pPr>
      <w:r>
        <w:rPr/>
      </w:r>
    </w:p>
    <w:p>
      <w:pPr>
        <w:pStyle w:val="Normal"/>
        <w:rPr>
          <w:u w:val="single"/>
        </w:rPr>
      </w:pPr>
      <w:r>
        <w:rPr/>
        <w:t>3.</w:t>
        <w:tab/>
      </w:r>
      <w:r>
        <w:rPr>
          <w:b/>
          <w:u w:val="single"/>
        </w:rPr>
        <w:t>Gas Logistics:</w:t>
      </w:r>
    </w:p>
    <w:p>
      <w:pPr>
        <w:pStyle w:val="Normal"/>
        <w:rPr>
          <w:u w:val="single"/>
        </w:rPr>
      </w:pPr>
      <w:r>
        <w:rPr>
          <w:u w:val="single"/>
        </w:rPr>
      </w:r>
    </w:p>
    <w:p>
      <w:pPr>
        <w:pStyle w:val="Normal"/>
        <w:rPr/>
      </w:pPr>
      <w:r>
        <w:rPr/>
        <w:t xml:space="preserve">EPMI would perform gas scheduling services necessary for Avista to obtain delivery of gas to the designated delivery point, for operation of the Coyote Springs 2 Facility.  EPMI would work with Avista’s gas suppliers (which may or may not include an EPMI affiliate) to schedule Avista’s gas deliveries. </w:t>
      </w:r>
    </w:p>
    <w:p>
      <w:pPr>
        <w:pStyle w:val="Normal"/>
        <w:rPr/>
      </w:pPr>
      <w:r>
        <w:rPr/>
      </w:r>
    </w:p>
    <w:p>
      <w:pPr>
        <w:pStyle w:val="Normal"/>
        <w:rPr/>
      </w:pPr>
      <w:r>
        <w:rPr/>
        <w:t>Although Avista and ECT will need to agree upon specific communications, notices, forecasting , scheduling and other activities pertaining to gas logistics, in general Avista will be responsible for determining the amount of gas needed each day and for communicating that information in the form of a nomination, along with any other operationally important information which Avista is aware, to ECT in a timely manner.    ECT will make gas available or cause gas to me made available at the delivery point or to the account of Avista in accordance with the amount of gas nominated by Avista for CS2, including making all the necessary and timely supply, pipeline and/or LDC nominations.  Avista will either receive the quantities so scheduled for delivery at the delivery point or inform ECT of its inability to receive such nominated quantities in a timely manner so that ECT can take whatever steps necessary to meet the needs of the CS2 facility while minimizing imbalance and cash-out exposure.</w:t>
      </w:r>
    </w:p>
    <w:p>
      <w:pPr>
        <w:pStyle w:val="Normal"/>
        <w:rPr/>
      </w:pPr>
      <w:r>
        <w:rPr/>
      </w:r>
    </w:p>
    <w:p>
      <w:pPr>
        <w:pStyle w:val="Normal"/>
        <w:rPr/>
      </w:pPr>
      <w:r>
        <w:rPr/>
        <w:t>Gas scheduling services may include transactions with EPMI or its affiliates in addition to other suppliers, buyers and transporters of natural gas that Avista may transact with from time to time. EPMI shall also settle imbalances on Avista’s behalf and provide billing support to Avista.</w:t>
      </w:r>
    </w:p>
    <w:p>
      <w:pPr>
        <w:pStyle w:val="Normal"/>
        <w:ind w:hanging="2880" w:start="2880" w:end="0"/>
        <w:rPr/>
      </w:pPr>
      <w:r>
        <w:rPr/>
      </w:r>
    </w:p>
    <w:p>
      <w:pPr>
        <w:pStyle w:val="Normal"/>
        <w:rPr/>
      </w:pPr>
      <w:r>
        <w:rPr/>
        <w:t>Avista will assign to ECT, effective for the term, all of Avista’s right, title, and interest in each transportation and balancing contract associated with delivery to the CS2 facility.  Where necessary and in conjunction with Avista’s knowledge and consent,  ECT may procure and negotiate rates on behalf of Avista for incremental transportation and/or balancing rights on PG&amp;E Gas Transmission, Northwest Corporation (“PGT”) for delivery from Stanfield to the CS2 lateral.  Each month during term hereof Buyer shall reimburse Seller for all transportation costs, both fixed and variable, under the PG&amp;E Gas Transmission, Northwest Corporation (“PGT”) tariff agreement incurred with respect to the firm transportation of gas on PGT from Stanfield to the Coyote Springs Lateral.</w:t>
      </w:r>
    </w:p>
    <w:p>
      <w:pPr>
        <w:pStyle w:val="Normal"/>
        <w:rPr/>
      </w:pPr>
      <w:r>
        <w:rPr/>
      </w:r>
    </w:p>
    <w:p>
      <w:pPr>
        <w:pStyle w:val="Normal"/>
        <w:rPr/>
      </w:pPr>
      <w:r>
        <w:rPr/>
      </w:r>
    </w:p>
    <w:p>
      <w:pPr>
        <w:pStyle w:val="Normal"/>
        <w:keepNext w:val="true"/>
        <w:rPr/>
      </w:pPr>
      <w:r>
        <w:rPr/>
        <w:t>4.</w:t>
        <w:tab/>
      </w:r>
      <w:r>
        <w:rPr>
          <w:b/>
          <w:u w:val="single"/>
        </w:rPr>
        <w:t>Real Time Energy Firming (not financially firming; physical supply continuation):</w:t>
      </w:r>
    </w:p>
    <w:p>
      <w:pPr>
        <w:pStyle w:val="Normal"/>
        <w:keepNext w:val="true"/>
        <w:rPr>
          <w:b/>
          <w:u w:val="single"/>
        </w:rPr>
      </w:pPr>
      <w:r>
        <w:rPr>
          <w:b/>
          <w:u w:val="single"/>
        </w:rPr>
      </w:r>
    </w:p>
    <w:p>
      <w:pPr>
        <w:pStyle w:val="Subject"/>
        <w:keepNext w:val="true"/>
        <w:rPr/>
      </w:pPr>
      <w:r>
        <w:rPr/>
        <w:t>During times of complete or partial forced outage of the Facility, EPMI would use commercially reasonable efforts to procure energy from the market to meet Avista’s firm delivery obligations. In performing this function, EPMI would attempt to mitigate any additional costs incurred by providing the energy firming services, including but not limited to, imbalance penalties. As per current industry scheduling guidelines, EPMI would require notification of a request for energy firming at least 60 minutes prior to the beginning of the first hour of required delivery. Avista would be obligated to accept all transactions EPMI enters into acting in this capacity.</w:t>
      </w:r>
    </w:p>
    <w:p>
      <w:pPr>
        <w:pStyle w:val="Normal"/>
        <w:rPr/>
      </w:pPr>
      <w:r>
        <w:rPr/>
      </w:r>
    </w:p>
    <w:p>
      <w:pPr>
        <w:pStyle w:val="Normal"/>
        <w:rPr/>
      </w:pPr>
      <w:r>
        <w:rPr/>
        <w:t xml:space="preserve">The price for Real Time Energy Firming Services would be $1.00/MWh for each MWh of firming energy purchased. </w:t>
      </w:r>
    </w:p>
    <w:p>
      <w:pPr>
        <w:pStyle w:val="Normal"/>
        <w:rPr/>
      </w:pPr>
      <w:r>
        <w:rPr/>
      </w:r>
    </w:p>
    <w:p>
      <w:pPr>
        <w:pStyle w:val="Normal"/>
        <w:numPr>
          <w:ilvl w:val="0"/>
          <w:numId w:val="2"/>
        </w:numPr>
        <w:rPr/>
      </w:pPr>
      <w:r>
        <w:rPr>
          <w:b/>
          <w:u w:val="single"/>
        </w:rPr>
        <w:t>Gas</w:t>
      </w:r>
      <w:r>
        <w:rPr>
          <w:u w:val="single"/>
        </w:rPr>
        <w:t xml:space="preserve"> </w:t>
      </w:r>
      <w:r>
        <w:rPr>
          <w:b/>
          <w:u w:val="single"/>
        </w:rPr>
        <w:t>Remarketing</w:t>
      </w:r>
      <w:r>
        <w:rPr>
          <w:u w:val="single"/>
        </w:rPr>
        <w:t xml:space="preserve"> </w:t>
      </w:r>
      <w:r>
        <w:rPr>
          <w:b/>
          <w:u w:val="single"/>
        </w:rPr>
        <w:t>and</w:t>
      </w:r>
      <w:r>
        <w:rPr>
          <w:u w:val="single"/>
        </w:rPr>
        <w:t xml:space="preserve"> </w:t>
      </w:r>
      <w:r>
        <w:rPr>
          <w:b/>
          <w:u w:val="single"/>
        </w:rPr>
        <w:t>Imbalance</w:t>
      </w:r>
      <w:r>
        <w:rPr>
          <w:u w:val="single"/>
        </w:rPr>
        <w:t xml:space="preserve"> </w:t>
      </w:r>
      <w:r>
        <w:rPr>
          <w:b/>
          <w:u w:val="single"/>
        </w:rPr>
        <w:t>Settlement</w:t>
      </w:r>
      <w:r>
        <w:rPr>
          <w:b/>
        </w:rPr>
        <w:t>:</w:t>
      </w:r>
    </w:p>
    <w:p>
      <w:pPr>
        <w:pStyle w:val="Normal"/>
        <w:rPr/>
      </w:pPr>
      <w:r>
        <w:rPr/>
      </w:r>
    </w:p>
    <w:p>
      <w:pPr>
        <w:pStyle w:val="Normal"/>
        <w:rPr/>
      </w:pPr>
      <w:r>
        <w:rPr/>
        <w:t>During times of complete or partial forced outage of the Facility, EPMI shall exercise commercially reasonable efforts on behalf of Avista to remarket gas not required for operation of the Facility due to the forced outage condition. Avista would be obligated to accept all transactions EPMI enters into acting in this capacity.</w:t>
      </w:r>
    </w:p>
    <w:p>
      <w:pPr>
        <w:pStyle w:val="Normal"/>
        <w:rPr/>
      </w:pPr>
      <w:r>
        <w:rPr/>
      </w:r>
    </w:p>
    <w:p>
      <w:pPr>
        <w:pStyle w:val="Normal"/>
        <w:rPr/>
      </w:pPr>
      <w:r>
        <w:rPr/>
        <w:t xml:space="preserve">Pricing for the Gas Remarketing and Imbalance Settlement Service would be 1.0% of the sale price of the remarketed gas or 1.0% of the value of any imbalance volume settlement resulting from Avista’s forced outage condition. EPMI would perform a similar function if the Facility becomes uneconomic and any previously purchased gas requires remarketing. </w:t>
      </w:r>
    </w:p>
    <w:p>
      <w:pPr>
        <w:pStyle w:val="Normal"/>
        <w:rPr/>
      </w:pPr>
      <w:r>
        <w:rPr/>
      </w:r>
    </w:p>
    <w:p>
      <w:pPr>
        <w:pStyle w:val="Index1"/>
        <w:rPr/>
      </w:pPr>
      <w:r>
        <w:rPr>
          <w:sz w:val="20"/>
        </w:rPr>
        <w:t>6.</w:t>
        <w:tab/>
      </w:r>
      <w:r>
        <w:rPr>
          <w:b/>
          <w:sz w:val="20"/>
          <w:u w:val="single"/>
        </w:rPr>
        <w:t>California Schedule Coordination Services:</w:t>
      </w:r>
    </w:p>
    <w:p>
      <w:pPr>
        <w:pStyle w:val="CommentText"/>
        <w:rPr/>
      </w:pPr>
      <w:r>
        <w:rPr/>
      </w:r>
    </w:p>
    <w:p>
      <w:pPr>
        <w:pStyle w:val="Normal"/>
        <w:rPr/>
      </w:pPr>
      <w:r>
        <w:rPr/>
        <w:t>EPMI shall act as the Schedule Coordinator (as defined by the California Independent System Operator) for any portion of the output of the Facility that Avista is sold for delivery to California. The Account Manager will provide information on a regular basis such that Avista can evaluate economic opportunities associated with selling into California. All charges related to selling into California, although billed to and settled by EPMI, would be the responsibility of Avista.</w:t>
      </w:r>
    </w:p>
    <w:p>
      <w:pPr>
        <w:pStyle w:val="Normal"/>
        <w:rPr/>
      </w:pPr>
      <w:r>
        <w:rPr/>
      </w:r>
    </w:p>
    <w:p>
      <w:pPr>
        <w:pStyle w:val="Normal"/>
        <w:rPr/>
      </w:pPr>
      <w:r>
        <w:rPr/>
        <w:t>7.</w:t>
        <w:tab/>
      </w:r>
      <w:r>
        <w:rPr>
          <w:b/>
          <w:u w:val="single"/>
        </w:rPr>
        <w:t>Decision Support Information Services:</w:t>
      </w:r>
    </w:p>
    <w:p>
      <w:pPr>
        <w:pStyle w:val="Normal"/>
        <w:rPr/>
      </w:pPr>
      <w:r>
        <w:rPr/>
      </w:r>
    </w:p>
    <w:p>
      <w:pPr>
        <w:pStyle w:val="Subject"/>
        <w:rPr/>
      </w:pPr>
      <w:r>
        <w:rPr/>
        <w:t>EPMI may develop certain Internet-based information systems for use by Avista which EPMI believes to be useful in making energy and natural gas decisions. EPMI believes such decision support information can assist in maximizing the value of energy assets and marketing portfolios. When and if this system becomes available, EPMI shall make the system available to Avista at no additional cost, but subject to substantially the same terms and conditions as it is made available to other similarly-situated EPMI customers.</w:t>
      </w:r>
    </w:p>
    <w:p>
      <w:pPr>
        <w:pStyle w:val="Normal"/>
        <w:rPr/>
      </w:pPr>
      <w:r>
        <w:rPr/>
      </w:r>
    </w:p>
    <w:p>
      <w:pPr>
        <w:pStyle w:val="Normal"/>
        <w:rPr/>
      </w:pPr>
      <w:r>
        <w:rPr/>
        <w:t>8.</w:t>
        <w:tab/>
      </w:r>
      <w:r>
        <w:rPr>
          <w:b/>
          <w:u w:val="single"/>
        </w:rPr>
        <w:t>Real Time Generation Information:</w:t>
      </w:r>
    </w:p>
    <w:p>
      <w:pPr>
        <w:pStyle w:val="Normal"/>
        <w:rPr/>
      </w:pPr>
      <w:r>
        <w:rPr/>
      </w:r>
    </w:p>
    <w:p>
      <w:pPr>
        <w:pStyle w:val="Normal"/>
        <w:rPr/>
      </w:pPr>
      <w:r>
        <w:rPr/>
        <w:t xml:space="preserve">EPMI and Avista shall cooperate to evaluate the costs and benefits of real time information transmission from the Facility to remote EPMI and Avista facilities prior to the Facility’s construction start-up. </w:t>
        <w:br/>
      </w:r>
    </w:p>
    <w:p>
      <w:pPr>
        <w:pStyle w:val="Normal"/>
        <w:rPr/>
      </w:pPr>
      <w:r>
        <w:rPr/>
        <w:t>9.</w:t>
        <w:tab/>
      </w:r>
      <w:r>
        <w:rPr>
          <w:b/>
          <w:u w:val="single"/>
        </w:rPr>
        <w:t>Accounting and Billing Support:</w:t>
      </w:r>
    </w:p>
    <w:p>
      <w:pPr>
        <w:pStyle w:val="Normal"/>
        <w:rPr/>
      </w:pPr>
      <w:r>
        <w:rPr/>
      </w:r>
    </w:p>
    <w:p>
      <w:pPr>
        <w:pStyle w:val="Subject"/>
        <w:rPr/>
      </w:pPr>
      <w:r>
        <w:rPr/>
        <w:t>EPMI shall provide, in the format agreed to by Avista and EPMI, accounting and billing support information to assist Avista in efficiently managing settlement with EPMI and other counterparties involved in energy and gas transactions associated with the Facility. EPMI shall settle all aspects of California transactions.</w:t>
      </w:r>
    </w:p>
    <w:p>
      <w:pPr>
        <w:pStyle w:val="Normal"/>
        <w:rPr/>
      </w:pPr>
      <w:r>
        <w:rPr/>
      </w:r>
    </w:p>
    <w:p>
      <w:pPr>
        <w:pStyle w:val="NormalIndent"/>
        <w:rPr/>
      </w:pPr>
      <w:r>
        <w:rPr/>
      </w:r>
    </w:p>
    <w:p>
      <w:pPr>
        <w:pStyle w:val="BodyText"/>
        <w:rPr>
          <w:rFonts w:ascii="Helv" w:hAnsi="Helv" w:cs="Helv"/>
        </w:rPr>
      </w:pPr>
      <w:r>
        <w:rPr/>
        <w:t>This Term Sheet is for discussion purposes only to facilitate the negotiation, preparation, and execution of definitive agreements. The prices set forth in this Term Sheet are subject to change until, if ever, definitive agreement(s) relating to the prospective transaction addressed herein are executed. This Term Sheet is not intended to create and does not create a binding or enforceable contract or commitment by either EPMI or Avista, and may not be relied upon by either party as a basis for a contract by estoppel or otherwise.  Consummation of any transaction is subject to, among other things the following conditions:  (i) receipt of all necessary or advisable regulatory or other approvals or consents, (ii) approval by the board of directors or other required internal approvals of EPMI and Avista, and, if applicable, their affiliates, and (iii) negotiation, execution, and delivery of definitive agreements relating to all aspects of the transaction.</w:t>
      </w:r>
    </w:p>
    <w:p>
      <w:pPr>
        <w:pStyle w:val="Normal"/>
        <w:rPr>
          <w:rFonts w:ascii="Helv" w:hAnsi="Helv" w:cs="Helv"/>
        </w:rPr>
      </w:pPr>
      <w:r>
        <w:rPr>
          <w:rFonts w:cs="Helv" w:ascii="Helv" w:hAnsi="Helv"/>
        </w:rPr>
      </w:r>
    </w:p>
    <w:p>
      <w:pPr>
        <w:pStyle w:val="Normal"/>
        <w:rPr/>
      </w:pPr>
      <w:r>
        <w:rPr/>
      </w:r>
    </w:p>
    <w:sectPr>
      <w:type w:val="nextPage"/>
      <w:pgSz w:w="12240" w:h="15840"/>
      <w:pgMar w:left="1008" w:right="1008" w:gutter="0" w:header="0" w:top="1008" w:footer="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rFonts w:ascii="Tms Rmn" w:hAnsi="Tms Rmn" w:cs="Tms Rmn"/>
      <w:b/>
      <w:i/>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jc w:val="both"/>
    </w:pPr>
    <w:rPr/>
  </w:style>
  <w:style w:type="paragraph" w:styleId="Index1">
    <w:name w:val="index 1"/>
    <w:basedOn w:val="Normal"/>
    <w:next w:val="Normal"/>
    <w:pPr>
      <w:jc w:val="both"/>
    </w:pPr>
    <w:rPr>
      <w:sz w:val="22"/>
    </w:rPr>
  </w:style>
  <w:style w:type="paragraph" w:styleId="NormalIndent">
    <w:name w:val="Normal Indent"/>
    <w:basedOn w:val="Normal"/>
    <w:qFormat/>
    <w:pPr>
      <w:ind w:hanging="0" w:start="720" w:end="0"/>
      <w:jc w:val="both"/>
    </w:pPr>
    <w:rPr>
      <w:sz w:val="22"/>
    </w:rPr>
  </w:style>
  <w:style w:type="paragraph" w:styleId="Justified">
    <w:name w:val="Justified"/>
    <w:basedOn w:val="Normal"/>
    <w:next w:val="Heading2"/>
    <w:qFormat/>
    <w:pPr>
      <w:spacing w:before="0" w:after="120"/>
      <w:jc w:val="both"/>
    </w:pPr>
    <w:rPr>
      <w:sz w:val="22"/>
    </w:rPr>
  </w:style>
  <w:style w:type="paragraph" w:styleId="Subject">
    <w:name w:val="Subject"/>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2000-08-31T15:04:00Z</dcterms:created>
  <dc:creator>gwolfe</dc:creator>
  <dc:description/>
  <dc:language>en-CA</dc:language>
  <cp:lastModifiedBy>metring</cp:lastModifiedBy>
  <cp:lastPrinted>2000-08-30T15:11:00Z</cp:lastPrinted>
  <dcterms:modified xsi:type="dcterms:W3CDTF">2000-08-31T15:04:00Z</dcterms:modified>
  <cp:revision>2</cp:revision>
  <dc:subject/>
  <dc:title>EXHIBIT D-3</dc:title>
</cp:coreProperties>
</file>