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40"/>
        <w:ind w:hanging="0" w:start="0"/>
        <w:jc w:val="center"/>
        <w:rPr>
          <w:rFonts w:ascii="Arial Black" w:hAnsi="Arial Black" w:cs="Arial Black"/>
          <w:i/>
          <w:i/>
          <w:sz w:val="28"/>
        </w:rPr>
      </w:pPr>
      <w:r>
        <w:rPr>
          <w:rFonts w:cs="Arial Black" w:ascii="Arial Black" w:hAnsi="Arial Black"/>
          <w:i/>
          <w:sz w:val="28"/>
        </w:rPr>
      </w:r>
    </w:p>
    <w:p>
      <w:pPr>
        <w:pStyle w:val="Heading1"/>
        <w:spacing w:before="0" w:after="240"/>
        <w:ind w:hanging="0" w:start="0"/>
        <w:jc w:val="center"/>
        <w:rPr/>
      </w:pPr>
      <w:r>
        <w:rPr/>
        <w:t>Enhancement Request Document</w:t>
      </w:r>
    </w:p>
    <w:tbl>
      <w:tblPr>
        <w:tblW w:w="10278" w:type="dxa"/>
        <w:jc w:val="start"/>
        <w:tblInd w:w="0" w:type="dxa"/>
        <w:tblLayout w:type="fixed"/>
        <w:tblCellMar>
          <w:top w:w="0" w:type="dxa"/>
          <w:start w:w="108" w:type="dxa"/>
          <w:bottom w:w="0" w:type="dxa"/>
          <w:end w:w="108" w:type="dxa"/>
        </w:tblCellMar>
      </w:tblPr>
      <w:tblGrid>
        <w:gridCol w:w="2569"/>
        <w:gridCol w:w="2399"/>
        <w:gridCol w:w="2569"/>
        <w:gridCol w:w="2741"/>
      </w:tblGrid>
      <w:tr>
        <w:trPr>
          <w:trHeight w:val="279" w:hRule="atLeast"/>
        </w:trPr>
        <w:tc>
          <w:tcPr>
            <w:tcW w:w="2569" w:type="dxa"/>
            <w:tcBorders/>
            <w:vAlign w:val="center"/>
          </w:tcPr>
          <w:p>
            <w:pPr>
              <w:pStyle w:val="Header"/>
              <w:rPr>
                <w:rFonts w:ascii="Arial" w:hAnsi="Arial" w:cs="Arial"/>
              </w:rPr>
            </w:pPr>
            <w:r>
              <w:rPr>
                <w:rFonts w:cs="Arial" w:ascii="Arial" w:hAnsi="Arial"/>
              </w:rPr>
              <w:t>Prepared By:</w:t>
            </w:r>
          </w:p>
        </w:tc>
        <w:tc>
          <w:tcPr>
            <w:tcW w:w="2399" w:type="dxa"/>
            <w:tcBorders>
              <w:bottom w:val="single" w:sz="4" w:space="0" w:color="000000"/>
            </w:tcBorders>
            <w:vAlign w:val="center"/>
          </w:tcPr>
          <w:p>
            <w:pPr>
              <w:pStyle w:val="Header"/>
              <w:ind w:end="-108"/>
              <w:rPr>
                <w:rFonts w:ascii="Arial" w:hAnsi="Arial" w:cs="Arial"/>
              </w:rPr>
            </w:pPr>
            <w:r>
              <w:rPr>
                <w:rFonts w:cs="Arial" w:ascii="Arial" w:hAnsi="Arial"/>
              </w:rPr>
              <w:t>Tammy Lee-Jaquet</w:t>
            </w:r>
          </w:p>
        </w:tc>
        <w:tc>
          <w:tcPr>
            <w:tcW w:w="2569" w:type="dxa"/>
            <w:tcBorders/>
            <w:vAlign w:val="center"/>
          </w:tcPr>
          <w:p>
            <w:pPr>
              <w:pStyle w:val="Header"/>
              <w:rPr>
                <w:rFonts w:ascii="Arial" w:hAnsi="Arial" w:cs="Arial"/>
              </w:rPr>
            </w:pPr>
            <w:r>
              <w:rPr>
                <w:rFonts w:cs="Arial" w:ascii="Arial" w:hAnsi="Arial"/>
              </w:rPr>
              <w:t>Business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Tammy Lee-Jaquet</w:t>
            </w:r>
          </w:p>
        </w:tc>
      </w:tr>
      <w:tr>
        <w:trPr>
          <w:trHeight w:val="341" w:hRule="atLeast"/>
        </w:trPr>
        <w:tc>
          <w:tcPr>
            <w:tcW w:w="2569" w:type="dxa"/>
            <w:tcBorders/>
            <w:vAlign w:val="center"/>
          </w:tcPr>
          <w:p>
            <w:pPr>
              <w:pStyle w:val="Header"/>
              <w:rPr>
                <w:rFonts w:ascii="Arial" w:hAnsi="Arial" w:cs="Arial"/>
              </w:rPr>
            </w:pPr>
            <w:r>
              <w:rPr>
                <w:rFonts w:cs="Arial" w:ascii="Arial" w:hAnsi="Arial"/>
              </w:rPr>
              <w:t>Enhancement Item:</w:t>
            </w:r>
          </w:p>
        </w:tc>
        <w:tc>
          <w:tcPr>
            <w:tcW w:w="2399" w:type="dxa"/>
            <w:tcBorders>
              <w:bottom w:val="single" w:sz="4" w:space="0" w:color="000000"/>
            </w:tcBorders>
            <w:vAlign w:val="center"/>
          </w:tcPr>
          <w:p>
            <w:pPr>
              <w:pStyle w:val="Header"/>
              <w:rPr>
                <w:rFonts w:ascii="Arial" w:hAnsi="Arial" w:cs="Arial"/>
              </w:rPr>
            </w:pPr>
            <w:r>
              <w:rPr>
                <w:rFonts w:cs="Arial" w:ascii="Arial" w:hAnsi="Arial"/>
              </w:rPr>
              <w:t>SIRP00067</w:t>
            </w:r>
          </w:p>
        </w:tc>
        <w:tc>
          <w:tcPr>
            <w:tcW w:w="2569" w:type="dxa"/>
            <w:tcBorders/>
            <w:vAlign w:val="center"/>
          </w:tcPr>
          <w:p>
            <w:pPr>
              <w:pStyle w:val="Header"/>
              <w:rPr>
                <w:rFonts w:ascii="Arial" w:hAnsi="Arial" w:cs="Arial"/>
              </w:rPr>
            </w:pPr>
            <w:r>
              <w:rPr>
                <w:rFonts w:cs="Arial" w:ascii="Arial" w:hAnsi="Arial"/>
              </w:rPr>
              <w:t>Company:</w:t>
            </w:r>
          </w:p>
        </w:tc>
        <w:tc>
          <w:tcPr>
            <w:tcW w:w="2741" w:type="dxa"/>
            <w:tcBorders>
              <w:bottom w:val="single" w:sz="4" w:space="0" w:color="000000"/>
            </w:tcBorders>
            <w:vAlign w:val="center"/>
          </w:tcPr>
          <w:p>
            <w:pPr>
              <w:pStyle w:val="Header"/>
              <w:rPr>
                <w:rFonts w:ascii="Arial" w:hAnsi="Arial" w:cs="Arial"/>
              </w:rPr>
            </w:pPr>
            <w:r>
              <w:rPr>
                <w:rFonts w:cs="Arial" w:ascii="Arial" w:hAnsi="Arial"/>
              </w:rPr>
              <w:t>ENA</w:t>
            </w:r>
          </w:p>
        </w:tc>
      </w:tr>
      <w:tr>
        <w:trPr>
          <w:trHeight w:val="359" w:hRule="atLeast"/>
        </w:trPr>
        <w:tc>
          <w:tcPr>
            <w:tcW w:w="2569" w:type="dxa"/>
            <w:tcBorders/>
            <w:vAlign w:val="center"/>
          </w:tcPr>
          <w:p>
            <w:pPr>
              <w:pStyle w:val="Header"/>
              <w:rPr>
                <w:rFonts w:ascii="Arial" w:hAnsi="Arial" w:cs="Arial"/>
              </w:rPr>
            </w:pPr>
            <w:r>
              <w:rPr>
                <w:rFonts w:cs="Arial" w:ascii="Arial" w:hAnsi="Arial"/>
              </w:rPr>
              <w:t>Priority Status:</w:t>
            </w:r>
          </w:p>
        </w:tc>
        <w:tc>
          <w:tcPr>
            <w:tcW w:w="2399" w:type="dxa"/>
            <w:tcBorders>
              <w:bottom w:val="single" w:sz="4" w:space="0" w:color="000000"/>
            </w:tcBorders>
            <w:vAlign w:val="center"/>
          </w:tcPr>
          <w:p>
            <w:pPr>
              <w:pStyle w:val="Header"/>
              <w:rPr>
                <w:rFonts w:ascii="Arial" w:hAnsi="Arial" w:cs="Arial"/>
              </w:rPr>
            </w:pPr>
            <w:r>
              <w:rPr>
                <w:rFonts w:cs="Arial" w:ascii="Arial" w:hAnsi="Arial"/>
              </w:rPr>
              <w:t>High 4/1/01</w:t>
            </w:r>
          </w:p>
        </w:tc>
        <w:tc>
          <w:tcPr>
            <w:tcW w:w="2569" w:type="dxa"/>
            <w:tcBorders/>
            <w:vAlign w:val="center"/>
          </w:tcPr>
          <w:p>
            <w:pPr>
              <w:pStyle w:val="Header"/>
              <w:rPr>
                <w:rFonts w:ascii="Arial" w:hAnsi="Arial" w:cs="Arial"/>
              </w:rPr>
            </w:pPr>
            <w:r>
              <w:rPr>
                <w:rFonts w:cs="Arial" w:ascii="Arial" w:hAnsi="Arial"/>
              </w:rPr>
              <w:t>Networks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Ben Nguyen</w:t>
            </w:r>
          </w:p>
        </w:tc>
      </w:tr>
      <w:tr>
        <w:trPr>
          <w:trHeight w:val="521" w:hRule="atLeast"/>
        </w:trPr>
        <w:tc>
          <w:tcPr>
            <w:tcW w:w="2569" w:type="dxa"/>
            <w:tcBorders/>
            <w:vAlign w:val="center"/>
          </w:tcPr>
          <w:p>
            <w:pPr>
              <w:pStyle w:val="Header"/>
              <w:rPr>
                <w:rFonts w:ascii="Arial" w:hAnsi="Arial" w:cs="Arial"/>
              </w:rPr>
            </w:pPr>
            <w:r>
              <w:rPr>
                <w:rFonts w:cs="Arial" w:ascii="Arial" w:hAnsi="Arial"/>
              </w:rPr>
              <w:t>Supporting documents attached (Y/N):</w:t>
            </w:r>
          </w:p>
        </w:tc>
        <w:tc>
          <w:tcPr>
            <w:tcW w:w="2399" w:type="dxa"/>
            <w:tcBorders>
              <w:bottom w:val="single" w:sz="4" w:space="0" w:color="000000"/>
            </w:tcBorders>
            <w:vAlign w:val="center"/>
          </w:tcPr>
          <w:p>
            <w:pPr>
              <w:pStyle w:val="Header"/>
              <w:rPr>
                <w:rFonts w:ascii="Arial" w:hAnsi="Arial" w:cs="Arial"/>
              </w:rPr>
            </w:pPr>
            <w:r>
              <w:rPr>
                <w:rFonts w:cs="Arial" w:ascii="Arial" w:hAnsi="Arial"/>
              </w:rPr>
              <w:t>Y</w:t>
            </w:r>
          </w:p>
        </w:tc>
        <w:tc>
          <w:tcPr>
            <w:tcW w:w="2569" w:type="dxa"/>
            <w:tcBorders/>
            <w:vAlign w:val="center"/>
          </w:tcPr>
          <w:p>
            <w:pPr>
              <w:pStyle w:val="Header"/>
              <w:rPr>
                <w:rFonts w:ascii="Arial" w:hAnsi="Arial" w:cs="Arial"/>
              </w:rPr>
            </w:pPr>
            <w:r>
              <w:rPr>
                <w:rFonts w:cs="Arial" w:ascii="Arial" w:hAnsi="Arial"/>
              </w:rPr>
              <w:t>Date completed &amp; moved to production:</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bl>
    <w:p>
      <w:pPr>
        <w:pStyle w:val="Normal"/>
        <w:numPr>
          <w:ilvl w:val="0"/>
          <w:numId w:val="0"/>
        </w:numPr>
        <w:jc w:val="center"/>
        <w:outlineLvl w:val="0"/>
        <w:rPr>
          <w:rFonts w:ascii="Arial" w:hAnsi="Arial" w:cs="Arial"/>
          <w:b/>
        </w:rPr>
      </w:pPr>
      <w:r>
        <w:rPr>
          <w:rFonts w:cs="Arial" w:ascii="Arial" w:hAnsi="Arial"/>
          <w:b/>
        </w:rPr>
      </w:r>
    </w:p>
    <w:p>
      <w:pPr>
        <w:pStyle w:val="Normal"/>
        <w:numPr>
          <w:ilvl w:val="0"/>
          <w:numId w:val="0"/>
        </w:numPr>
        <w:jc w:val="center"/>
        <w:outlineLvl w:val="0"/>
        <w:rPr>
          <w:rFonts w:ascii="Arial" w:hAnsi="Arial" w:cs="Arial"/>
          <w:b/>
        </w:rPr>
      </w:pPr>
      <w:r>
        <w:rPr>
          <w:rFonts w:cs="Arial" w:ascii="Arial" w:hAnsi="Arial"/>
          <w:b/>
        </w:rPr>
        <w:t>Automate Load of Scheduled Quantity</w:t>
      </w:r>
    </w:p>
    <w:p>
      <w:pPr>
        <w:pStyle w:val="Heading2"/>
        <w:ind w:hanging="0" w:start="0"/>
        <w:rPr/>
      </w:pPr>
      <w:r>
        <w:rPr/>
        <w:t>Draft 10/04/01</w:t>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u w:val="single"/>
        </w:rPr>
      </w:pPr>
      <w:r>
        <w:rPr>
          <w:rFonts w:cs="Arial" w:ascii="Arial" w:hAnsi="Arial"/>
          <w:b/>
          <w:u w:val="single"/>
        </w:rPr>
        <w:t>CURRENT PROCESS:</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Currently during the month and month end a draft of Unify is performed requiring the Logistics’ schedulers to be tracked and balanced on their prospective pipelines.  To maintain their balanced position, the electronic scheduled quantities are not loaded into Unify.  The process of not loading the electronic scheduled quantity is managed manually by changing the “Schedule Quantity Method” from X12 to X12 log in Unify under Admin/Pipeline by pipeline.  When the draft is completed, the schedulers manually enter the schedule quantity information for the days the electronic files were not loaded and the “Schedule Quantity Method” it manually changed back from X12 log to X12 by pipeline.</w:t>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u w:val="single"/>
        </w:rPr>
      </w:pPr>
      <w:r>
        <w:rPr>
          <w:rFonts w:cs="Arial" w:ascii="Arial" w:hAnsi="Arial"/>
          <w:b/>
          <w:u w:val="single"/>
        </w:rPr>
        <w:t>PURPOSE AND DESCRIPTION OF REQUEST:</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 xml:space="preserve">The proposed process would provide a view to enter a date(s) and select a pipeline(s) where the scheduled quantities will be moved from X12 to X12 log and from X12 log back to X12.  When the switch is made from X12 log back to X12, there should be an option by pipeline(s) or all pipelines to indicate the scheduled quantities sent to X12 log during this period will be loaded into Unify in sequential order. </w:t>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b/>
          <w:u w:val="single"/>
        </w:rPr>
      </w:pPr>
      <w:r>
        <w:rPr>
          <w:rFonts w:cs="Arial" w:ascii="Arial" w:hAnsi="Arial"/>
          <w:b/>
          <w:u w:val="single"/>
        </w:rPr>
        <w:t>REQUIREMENTS:</w:t>
      </w:r>
    </w:p>
    <w:p>
      <w:pPr>
        <w:pStyle w:val="Normal"/>
        <w:rPr>
          <w:rFonts w:ascii="Arial" w:hAnsi="Arial" w:cs="Arial"/>
          <w:b/>
          <w:u w:val="single"/>
        </w:rPr>
      </w:pPr>
      <w:r>
        <w:rPr>
          <w:rFonts w:cs="Arial" w:ascii="Arial" w:hAnsi="Arial"/>
          <w:b/>
          <w:u w:val="single"/>
        </w:rPr>
      </w:r>
    </w:p>
    <w:p>
      <w:pPr>
        <w:pStyle w:val="Normal"/>
        <w:numPr>
          <w:ilvl w:val="0"/>
          <w:numId w:val="2"/>
        </w:numPr>
        <w:rPr>
          <w:rFonts w:ascii="Arial" w:hAnsi="Arial" w:cs="Arial"/>
        </w:rPr>
      </w:pPr>
      <w:r>
        <w:rPr>
          <w:rFonts w:cs="Arial" w:ascii="Arial" w:hAnsi="Arial"/>
        </w:rPr>
        <w:t>Both test and production scheduled quantities use the X12 log for the “Scheduled Qty Method”.  To distinguish the scheduled quantities we are testing with versus the scheduled quantities in production, add a new “Scheduled Qty Method” of testing to Unify/Admin/Pipeline.  See Exhibit 1.</w:t>
      </w:r>
    </w:p>
    <w:p>
      <w:pPr>
        <w:pStyle w:val="Normal"/>
        <w:numPr>
          <w:ilvl w:val="0"/>
          <w:numId w:val="2"/>
        </w:numPr>
        <w:rPr>
          <w:rFonts w:ascii="Arial" w:hAnsi="Arial" w:cs="Arial"/>
        </w:rPr>
      </w:pPr>
      <w:r>
        <w:rPr>
          <w:rFonts w:cs="Arial" w:ascii="Arial" w:hAnsi="Arial"/>
        </w:rPr>
        <w:t>Select a pipeline, pipelines, or all pipelines to perform the changing of the “Scheduled Qty Method”.</w:t>
      </w:r>
    </w:p>
    <w:p>
      <w:pPr>
        <w:pStyle w:val="Normal"/>
        <w:numPr>
          <w:ilvl w:val="0"/>
          <w:numId w:val="2"/>
        </w:numPr>
        <w:rPr>
          <w:rFonts w:ascii="Arial" w:hAnsi="Arial" w:cs="Arial"/>
        </w:rPr>
      </w:pPr>
      <w:r>
        <w:rPr>
          <w:rFonts w:cs="Arial" w:ascii="Arial" w:hAnsi="Arial"/>
        </w:rPr>
        <w:t>Select a pipeline, pipelines or all pipelines to indicate which scheduled quantities sent to X log should be loaded into Unify when changed back to X12.</w:t>
      </w:r>
    </w:p>
    <w:p>
      <w:pPr>
        <w:pStyle w:val="Normal"/>
        <w:numPr>
          <w:ilvl w:val="0"/>
          <w:numId w:val="2"/>
        </w:numPr>
        <w:rPr>
          <w:rFonts w:ascii="Arial" w:hAnsi="Arial" w:cs="Arial"/>
        </w:rPr>
      </w:pPr>
      <w:r>
        <w:rPr>
          <w:rFonts w:cs="Arial" w:ascii="Arial" w:hAnsi="Arial"/>
        </w:rPr>
        <w:t>A commencement date field and termination date field to enter dates for changing the “Schedule Qty Method”.</w:t>
      </w:r>
    </w:p>
    <w:p>
      <w:pPr>
        <w:pStyle w:val="Normal"/>
        <w:numPr>
          <w:ilvl w:val="0"/>
          <w:numId w:val="2"/>
        </w:numPr>
        <w:rPr>
          <w:rFonts w:ascii="Arial" w:hAnsi="Arial" w:cs="Arial"/>
        </w:rPr>
      </w:pPr>
      <w:r>
        <w:rPr>
          <w:rFonts w:cs="Arial" w:ascii="Arial" w:hAnsi="Arial"/>
        </w:rPr>
        <w:t xml:space="preserve">Validate the commencement date must be equal to or greater than the current date but not to exceed the termination date.  Error message will be displayed.  </w:t>
      </w:r>
    </w:p>
    <w:p>
      <w:pPr>
        <w:pStyle w:val="Normal"/>
        <w:numPr>
          <w:ilvl w:val="0"/>
          <w:numId w:val="2"/>
        </w:numPr>
        <w:rPr>
          <w:rFonts w:ascii="Arial" w:hAnsi="Arial" w:cs="Arial"/>
        </w:rPr>
      </w:pPr>
      <w:r>
        <w:rPr>
          <w:rFonts w:cs="Arial" w:ascii="Arial" w:hAnsi="Arial"/>
        </w:rPr>
        <w:t>Validate the user cannot have a termination date less than the commencement date or less than the current date.  Error message will be displayed.</w:t>
      </w:r>
    </w:p>
    <w:p>
      <w:pPr>
        <w:pStyle w:val="Normal"/>
        <w:numPr>
          <w:ilvl w:val="0"/>
          <w:numId w:val="2"/>
        </w:numPr>
        <w:rPr>
          <w:rFonts w:ascii="Arial" w:hAnsi="Arial" w:cs="Arial"/>
        </w:rPr>
      </w:pPr>
      <w:r>
        <w:rPr>
          <w:rFonts w:cs="Arial" w:ascii="Arial" w:hAnsi="Arial"/>
        </w:rPr>
        <w:t>Validate the user cannot have a termination date greater than 30 days.  Error message will be displayed.</w:t>
      </w:r>
    </w:p>
    <w:p>
      <w:pPr>
        <w:pStyle w:val="Normal"/>
        <w:numPr>
          <w:ilvl w:val="0"/>
          <w:numId w:val="2"/>
        </w:numPr>
        <w:rPr>
          <w:rFonts w:ascii="Arial" w:hAnsi="Arial" w:cs="Arial"/>
        </w:rPr>
      </w:pPr>
      <w:r>
        <w:rPr>
          <w:rFonts w:cs="Arial" w:ascii="Arial" w:hAnsi="Arial"/>
        </w:rPr>
        <w:t>Validate the user cannot have a commencement date greater than 30 days.  Error message will be displayed.</w:t>
      </w:r>
    </w:p>
    <w:p>
      <w:pPr>
        <w:pStyle w:val="Normal"/>
        <w:numPr>
          <w:ilvl w:val="0"/>
          <w:numId w:val="2"/>
        </w:numPr>
        <w:rPr>
          <w:rFonts w:ascii="Arial" w:hAnsi="Arial" w:cs="Arial"/>
        </w:rPr>
      </w:pPr>
      <w:r>
        <w:rPr>
          <w:rFonts w:cs="Arial" w:ascii="Arial" w:hAnsi="Arial"/>
        </w:rPr>
        <w:t>If a date range is entered and no data is available, error message will be displayed.</w:t>
      </w:r>
    </w:p>
    <w:p>
      <w:pPr>
        <w:pStyle w:val="Normal"/>
        <w:numPr>
          <w:ilvl w:val="0"/>
          <w:numId w:val="2"/>
        </w:numPr>
        <w:rPr>
          <w:rFonts w:ascii="Arial" w:hAnsi="Arial" w:cs="Arial"/>
        </w:rPr>
      </w:pPr>
      <w:r>
        <w:rPr>
          <w:rFonts w:cs="Arial" w:ascii="Arial" w:hAnsi="Arial"/>
        </w:rPr>
        <w:t>The id of person and the date and time stamp when the changes are made to the “Scheduled Qty Method” will be displayed under the appropriate heading.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t>Exhibit 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drawing>
          <wp:inline distT="0" distB="0" distL="0" distR="0">
            <wp:extent cx="6485890" cy="46678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6485890" cy="4667885"/>
                    </a:xfrm>
                    <a:prstGeom prst="rect">
                      <a:avLst/>
                    </a:prstGeom>
                    <a:noFill/>
                  </pic:spPr>
                </pic:pic>
              </a:graphicData>
            </a:graphic>
          </wp:inline>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footerReference w:type="default" r:id="rId3"/>
      <w:type w:val="nextPage"/>
      <w:pgSz w:w="12240" w:h="15840"/>
      <w:pgMar w:left="1008" w:right="1008"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color w:val="FF0000"/>
    </w:rPr>
  </w:style>
  <w:style w:type="character" w:styleId="WW8Num2z0">
    <w:name w:val="WW8Num2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Arial" w:hAnsi="Arial" w:cs="Arial"/>
      <w:b w:val="false"/>
      <w:i w:val="false"/>
      <w:color w:val="000080"/>
      <w:sz w:val="24"/>
      <w:u w:val="none"/>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Master.dot</Template>
  <TotalTime>351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2001-10-02T18:11:00Z</dcterms:created>
  <dc:creator>Marysusan Banavali</dc:creator>
  <dc:description/>
  <dc:language>en-CA</dc:language>
  <cp:lastModifiedBy>tammy lee-jaquet</cp:lastModifiedBy>
  <cp:lastPrinted>2001-02-07T11:08:00Z</cp:lastPrinted>
  <dcterms:modified xsi:type="dcterms:W3CDTF">2001-10-04T20:44:00Z</dcterms:modified>
  <cp:revision>14</cp:revision>
  <dc:subject/>
  <dc:title>NAME</dc:title>
</cp:coreProperties>
</file>