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Australia Government Regulatory Profile: Telecommunication and IT</w:t>
      </w:r>
    </w:p>
    <w:p>
      <w:pPr>
        <w:pStyle w:val="Normal"/>
        <w:rPr>
          <w:sz w:val="24"/>
        </w:rPr>
      </w:pPr>
      <w:r>
        <w:rPr>
          <w:sz w:val="24"/>
        </w:rPr>
      </w:r>
    </w:p>
    <w:p>
      <w:pPr>
        <w:pStyle w:val="Normal"/>
        <w:numPr>
          <w:ilvl w:val="0"/>
          <w:numId w:val="4"/>
        </w:numPr>
        <w:rPr/>
      </w:pPr>
      <w:r>
        <w:rPr>
          <w:b/>
        </w:rPr>
        <w:t>History of Deregulation</w:t>
      </w:r>
    </w:p>
    <w:p>
      <w:pPr>
        <w:pStyle w:val="Normal"/>
        <w:rPr/>
      </w:pPr>
      <w:r>
        <w:rPr/>
      </w:r>
    </w:p>
    <w:p>
      <w:pPr>
        <w:pStyle w:val="BodyTextIndent2"/>
        <w:numPr>
          <w:ilvl w:val="1"/>
          <w:numId w:val="3"/>
        </w:numPr>
        <w:rPr/>
      </w:pPr>
      <w:r>
        <w:rPr/>
        <w:t>Full liberalization of the Australian telecommunications market in 1997.</w:t>
      </w:r>
    </w:p>
    <w:p>
      <w:pPr>
        <w:pStyle w:val="BodyTextIndent2"/>
        <w:tabs>
          <w:tab w:val="clear" w:pos="720"/>
        </w:tabs>
        <w:ind w:hanging="0" w:start="360" w:end="0"/>
        <w:rPr/>
      </w:pPr>
      <w:r>
        <w:rPr/>
      </w:r>
    </w:p>
    <w:p>
      <w:pPr>
        <w:pStyle w:val="BodyTextIndent2"/>
        <w:numPr>
          <w:ilvl w:val="1"/>
          <w:numId w:val="3"/>
        </w:numPr>
        <w:rPr/>
      </w:pPr>
      <w:r>
        <w:rPr/>
        <w:t>The Australian Communications Authority (ACA) is the regulator of the Australian communications industry.  It was formed on 1 July 1997 as a result of a merger between the Spectrum Management agency (SMA) and the Australian Telecommunications Authority (AUSTEL).  The ACA is responsible for regulating telecommunications and radio communications, including promoting industry self-regulation and managing the radio frequency spectrum.</w:t>
      </w:r>
    </w:p>
    <w:p>
      <w:pPr>
        <w:pStyle w:val="BodyTextIndent2"/>
        <w:tabs>
          <w:tab w:val="clear" w:pos="720"/>
        </w:tabs>
        <w:ind w:hanging="0" w:start="0" w:end="0"/>
        <w:rPr/>
      </w:pPr>
      <w:r>
        <w:rPr/>
      </w:r>
    </w:p>
    <w:p>
      <w:pPr>
        <w:pStyle w:val="BodyTextIndent2"/>
        <w:numPr>
          <w:ilvl w:val="1"/>
          <w:numId w:val="3"/>
        </w:numPr>
        <w:rPr/>
      </w:pPr>
      <w:r>
        <w:rPr/>
        <w:t>Australian Competition and Consumer Commission (ACCC) regulates competition.  It took over these responsibilities from AUSTEL on 1 July 1997.  The ACCC is also responsible for arbitration where industry is unable to agree.</w:t>
      </w:r>
    </w:p>
    <w:p>
      <w:pPr>
        <w:pStyle w:val="Normal"/>
        <w:rPr/>
      </w:pPr>
      <w:r>
        <w:rPr/>
        <w:t xml:space="preserve"> </w:t>
      </w:r>
    </w:p>
    <w:p>
      <w:pPr>
        <w:pStyle w:val="Normal"/>
        <w:ind w:start="360" w:end="0"/>
        <w:rPr/>
      </w:pPr>
      <w:r>
        <w:rPr/>
      </w:r>
    </w:p>
    <w:p>
      <w:pPr>
        <w:pStyle w:val="Normal"/>
        <w:numPr>
          <w:ilvl w:val="0"/>
          <w:numId w:val="4"/>
        </w:numPr>
        <w:rPr>
          <w:b/>
        </w:rPr>
      </w:pPr>
      <w:r>
        <w:rPr>
          <w:b/>
        </w:rPr>
        <w:t>Licensing Framework</w:t>
      </w:r>
    </w:p>
    <w:p>
      <w:pPr>
        <w:pStyle w:val="Normal"/>
        <w:rPr>
          <w:b/>
        </w:rPr>
      </w:pPr>
      <w:r>
        <w:rPr>
          <w:b/>
        </w:rPr>
      </w:r>
    </w:p>
    <w:p>
      <w:pPr>
        <w:pStyle w:val="Normal"/>
        <w:numPr>
          <w:ilvl w:val="1"/>
          <w:numId w:val="4"/>
        </w:numPr>
        <w:tabs>
          <w:tab w:val="left" w:pos="720" w:leader="none"/>
        </w:tabs>
        <w:ind w:hanging="360" w:start="720" w:end="0"/>
        <w:rPr/>
      </w:pPr>
      <w:r>
        <w:rPr/>
        <w:t>Only carriers must hold telecommunications licenses. A carrier is an owner of network units used to supply carriage services to the public.  In summary, network units are line links (wire, cable, fiber or conduit) exceeding 500 meters, or designated radio communications links, such as mobile service base stations, or satellite base facilities.</w:t>
      </w:r>
    </w:p>
    <w:p>
      <w:pPr>
        <w:pStyle w:val="Normal"/>
        <w:ind w:start="360" w:end="0"/>
        <w:rPr/>
      </w:pPr>
      <w:r>
        <w:rPr/>
      </w:r>
    </w:p>
    <w:p>
      <w:pPr>
        <w:pStyle w:val="Normal"/>
        <w:numPr>
          <w:ilvl w:val="1"/>
          <w:numId w:val="4"/>
        </w:numPr>
        <w:tabs>
          <w:tab w:val="left" w:pos="720" w:leader="none"/>
        </w:tabs>
        <w:ind w:hanging="360" w:start="720" w:end="0"/>
        <w:rPr/>
      </w:pPr>
      <w:r>
        <w:rPr/>
        <w:t>Australia has an open licensing regime with emphasis on industry self-regulation.  Carriers and service providers, including ISPs, have obligations to assist law enforcement agencies to carry out their duties.  Another obligation is that carriers and service providers do their best to ensure that telecommunication facilities and network are not used in the commission of offences.</w:t>
      </w:r>
    </w:p>
    <w:p>
      <w:pPr>
        <w:pStyle w:val="Normal"/>
        <w:rPr/>
      </w:pPr>
      <w:r>
        <w:rPr/>
      </w:r>
    </w:p>
    <w:p>
      <w:pPr>
        <w:pStyle w:val="Normal"/>
        <w:numPr>
          <w:ilvl w:val="1"/>
          <w:numId w:val="4"/>
        </w:numPr>
        <w:tabs>
          <w:tab w:val="left" w:pos="720" w:leader="none"/>
        </w:tabs>
        <w:ind w:hanging="360" w:start="720" w:end="0"/>
        <w:rPr/>
      </w:pPr>
      <w:r>
        <w:rPr/>
        <w:t>No distinction is drawn between general carrier and mobile carrier licenses.  Any person (corporations, partnerships, and public bodies) may apply to be licensed as a carrier.</w:t>
      </w:r>
    </w:p>
    <w:p>
      <w:pPr>
        <w:pStyle w:val="BodyTextIndent3"/>
        <w:ind w:hanging="0" w:start="0" w:end="0"/>
        <w:rPr/>
      </w:pPr>
      <w:r>
        <w:rPr/>
      </w:r>
    </w:p>
    <w:p>
      <w:pPr>
        <w:pStyle w:val="BodyTextIndent3"/>
        <w:ind w:hanging="0" w:start="0" w:end="0"/>
        <w:rPr/>
      </w:pPr>
      <w:r>
        <w:rPr/>
      </w:r>
    </w:p>
    <w:p>
      <w:pPr>
        <w:pStyle w:val="Heading2"/>
        <w:numPr>
          <w:ilvl w:val="0"/>
          <w:numId w:val="2"/>
        </w:numPr>
        <w:ind w:hanging="0" w:start="0"/>
        <w:rPr>
          <w:b w:val="false"/>
        </w:rPr>
      </w:pPr>
      <w:r>
        <w:rPr/>
        <w:t xml:space="preserve">Tax: </w:t>
      </w:r>
      <w:r>
        <w:rPr>
          <w:b w:val="false"/>
        </w:rPr>
        <w:t xml:space="preserve"> Basic business and capital gain tax of 34%.</w:t>
      </w:r>
    </w:p>
    <w:p>
      <w:pPr>
        <w:pStyle w:val="Normal"/>
        <w:rPr>
          <w:b/>
        </w:rPr>
      </w:pPr>
      <w:r>
        <w:rPr>
          <w:b/>
        </w:rPr>
      </w:r>
    </w:p>
    <w:p>
      <w:pPr>
        <w:pStyle w:val="Heading2"/>
        <w:numPr>
          <w:ilvl w:val="0"/>
          <w:numId w:val="2"/>
        </w:numPr>
        <w:ind w:hanging="0" w:start="0"/>
        <w:rPr/>
      </w:pPr>
      <w:r>
        <w:rPr/>
        <w:t>Enron current regulatory position</w:t>
      </w:r>
    </w:p>
    <w:p>
      <w:pPr>
        <w:pStyle w:val="Normal"/>
        <w:rPr/>
      </w:pPr>
      <w:r>
        <w:rPr/>
      </w:r>
    </w:p>
    <w:p>
      <w:pPr>
        <w:pStyle w:val="Normal"/>
        <w:numPr>
          <w:ilvl w:val="1"/>
          <w:numId w:val="2"/>
        </w:numPr>
        <w:rPr/>
      </w:pPr>
      <w:r>
        <w:rPr/>
        <w:t>Local Sidney based law firm, Clayton &amp; Utz, is the outside council.</w:t>
      </w:r>
    </w:p>
    <w:p>
      <w:pPr>
        <w:pStyle w:val="Normal"/>
        <w:ind w:start="360" w:end="0"/>
        <w:rPr/>
      </w:pPr>
      <w:r>
        <w:rPr/>
      </w:r>
    </w:p>
    <w:p>
      <w:pPr>
        <w:pStyle w:val="Normal"/>
        <w:numPr>
          <w:ilvl w:val="1"/>
          <w:numId w:val="2"/>
        </w:numPr>
        <w:rPr/>
      </w:pPr>
      <w:r>
        <w:rPr/>
        <w:t xml:space="preserve">Provided there is no ownership of network units, EBS will not be required to hold a carrier license.  </w:t>
      </w:r>
    </w:p>
    <w:p>
      <w:pPr>
        <w:pStyle w:val="Normal"/>
        <w:rPr/>
      </w:pPr>
      <w:r>
        <w:rPr/>
      </w:r>
    </w:p>
    <w:p>
      <w:pPr>
        <w:pStyle w:val="Normal"/>
        <w:numPr>
          <w:ilvl w:val="2"/>
          <w:numId w:val="2"/>
        </w:numPr>
        <w:rPr/>
      </w:pPr>
      <w:r>
        <w:rPr/>
        <w:t xml:space="preserve">Ownership of switches, routers and servers do not require the holding of a carrier license.  </w:t>
      </w:r>
    </w:p>
    <w:p>
      <w:pPr>
        <w:pStyle w:val="Normal"/>
        <w:numPr>
          <w:ilvl w:val="2"/>
          <w:numId w:val="2"/>
        </w:numPr>
        <w:rPr/>
      </w:pPr>
      <w:r>
        <w:rPr/>
        <w:t>Holding an IRU does not require a carrier license.</w:t>
      </w:r>
    </w:p>
    <w:p>
      <w:pPr>
        <w:pStyle w:val="Normal"/>
        <w:ind w:start="360" w:end="0"/>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Australia_Regulatory_Profile.doc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4">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2"/>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260" w:start="1980" w:end="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keepLines/>
      <w:spacing w:lineRule="atLeast" w:line="240"/>
      <w:ind w:hanging="540" w:start="17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2001-01-10T18:41:00Z</dcterms:created>
  <dc:creator>xi_xi</dc:creator>
  <dc:description/>
  <dc:language>en-CA</dc:language>
  <cp:lastModifiedBy>xi_xi</cp:lastModifiedBy>
  <cp:lastPrinted>2001-01-08T16:30:00Z</cp:lastPrinted>
  <dcterms:modified xsi:type="dcterms:W3CDTF">2001-01-10T20:55:00Z</dcterms:modified>
  <cp:revision>7</cp:revision>
  <dc:subject/>
  <dc:title>Japanese Government Regulatory Profile: Telecommunication and IT</dc:title>
</cp:coreProperties>
</file>