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Fonts w:eastAsia="Arial"/>
          <w:sz w:val="20"/>
        </w:rPr>
        <w:t xml:space="preserve">      </w:t>
      </w:r>
      <w:r>
        <w:rPr>
          <w:sz w:val="20"/>
        </w:rPr>
        <w:drawing>
          <wp:inline distT="0" distB="0" distL="0" distR="0">
            <wp:extent cx="1096010" cy="11296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96010" cy="112966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5860"/>
        <w:gridCol w:w="2070"/>
        <w:gridCol w:w="2070"/>
      </w:tblGrid>
      <w:tr>
        <w:trPr>
          <w:trHeight w:val="300" w:hRule="exact"/>
        </w:trPr>
        <w:tc>
          <w:tcPr>
            <w:tcW w:w="708" w:type="dxa"/>
            <w:tcBorders/>
          </w:tcPr>
          <w:p>
            <w:pPr>
              <w:pStyle w:val="Normal"/>
              <w:widowControl/>
              <w:ind w:start="-180" w:end="0"/>
              <w:jc w:val="end"/>
              <w:rPr>
                <w:rFonts w:ascii="Arial Narrow" w:hAnsi="Arial Narrow" w:cs="Arial Narrow"/>
                <w:sz w:val="20"/>
              </w:rPr>
            </w:pPr>
            <w:r>
              <w:rPr>
                <w:rFonts w:cs="Arial Narrow" w:ascii="Arial Narrow" w:hAnsi="Arial Narrow"/>
                <w:sz w:val="20"/>
              </w:rPr>
              <w:t>To:</w:t>
            </w:r>
          </w:p>
        </w:tc>
        <w:tc>
          <w:tcPr>
            <w:tcW w:w="5860" w:type="dxa"/>
            <w:tcBorders/>
          </w:tcPr>
          <w:p>
            <w:pPr>
              <w:pStyle w:val="To"/>
              <w:widowControl/>
              <w:rPr>
                <w:rFonts w:ascii="Arial Narrow" w:hAnsi="Arial Narrow" w:cs="Arial Narrow"/>
              </w:rPr>
            </w:pPr>
            <w:r>
              <w:rPr>
                <w:rFonts w:cs="Arial Narrow" w:ascii="Arial Narrow" w:hAnsi="Arial Narrow"/>
              </w:rPr>
              <w:t>Colin Jackson</w:t>
            </w:r>
          </w:p>
          <w:p>
            <w:pPr>
              <w:pStyle w:val="To"/>
              <w:widowControl/>
              <w:rPr>
                <w:rFonts w:ascii="Arial Narrow" w:hAnsi="Arial Narrow" w:cs="Arial Narrow"/>
              </w:rPr>
            </w:pPr>
            <w:r>
              <w:rPr>
                <w:rFonts w:cs="Arial Narrow" w:ascii="Arial Narrow" w:hAnsi="Arial Narrow"/>
              </w:rPr>
            </w:r>
          </w:p>
        </w:tc>
        <w:tc>
          <w:tcPr>
            <w:tcW w:w="2070" w:type="dxa"/>
            <w:tcBorders/>
          </w:tcPr>
          <w:p>
            <w:pPr>
              <w:pStyle w:val="Normal"/>
              <w:widowControl/>
              <w:snapToGrid w:val="false"/>
              <w:ind w:start="-180" w:end="0"/>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rPr>
                <w:rFonts w:ascii="Arial Narrow" w:hAnsi="Arial Narrow" w:cs="Arial Narrow"/>
                <w:sz w:val="20"/>
              </w:rPr>
            </w:pPr>
            <w:r>
              <w:rPr>
                <w:rFonts w:cs="Arial Narrow" w:ascii="Arial Narrow" w:hAnsi="Arial Narrow"/>
                <w:sz w:val="20"/>
              </w:rPr>
            </w:r>
          </w:p>
        </w:tc>
      </w:tr>
      <w:tr>
        <w:trPr>
          <w:trHeight w:val="216" w:hRule="exact"/>
        </w:trPr>
        <w:tc>
          <w:tcPr>
            <w:tcW w:w="708" w:type="dxa"/>
            <w:tcBorders/>
          </w:tcPr>
          <w:p>
            <w:pPr>
              <w:pStyle w:val="Normal"/>
              <w:widowControl/>
              <w:snapToGrid w:val="false"/>
              <w:ind w:start="-180" w:end="0"/>
              <w:jc w:val="end"/>
              <w:rPr>
                <w:rFonts w:ascii="Arial Narrow" w:hAnsi="Arial Narrow" w:cs="Arial Narrow"/>
                <w:sz w:val="20"/>
              </w:rPr>
            </w:pPr>
            <w:r>
              <w:rPr>
                <w:rFonts w:cs="Arial Narrow" w:ascii="Arial Narrow" w:hAnsi="Arial Narrow"/>
                <w:sz w:val="20"/>
              </w:rPr>
            </w:r>
          </w:p>
        </w:tc>
        <w:tc>
          <w:tcPr>
            <w:tcW w:w="5860" w:type="dxa"/>
            <w:tcBorders/>
          </w:tcPr>
          <w:p>
            <w:pPr>
              <w:pStyle w:val="Normal"/>
              <w:widowControl/>
              <w:snapToGrid w:val="false"/>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ind w:start="-180" w:end="0"/>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rPr>
                <w:rFonts w:ascii="Arial Narrow" w:hAnsi="Arial Narrow" w:cs="Arial Narrow"/>
                <w:sz w:val="20"/>
              </w:rPr>
            </w:pPr>
            <w:r>
              <w:rPr>
                <w:rFonts w:cs="Arial Narrow" w:ascii="Arial Narrow" w:hAnsi="Arial Narrow"/>
                <w:sz w:val="20"/>
              </w:rPr>
            </w:r>
          </w:p>
        </w:tc>
      </w:tr>
      <w:tr>
        <w:trPr>
          <w:trHeight w:val="300" w:hRule="exact"/>
        </w:trPr>
        <w:tc>
          <w:tcPr>
            <w:tcW w:w="708" w:type="dxa"/>
            <w:tcBorders/>
          </w:tcPr>
          <w:p>
            <w:pPr>
              <w:pStyle w:val="Normal"/>
              <w:widowControl/>
              <w:ind w:start="-180" w:end="0"/>
              <w:jc w:val="end"/>
              <w:rPr>
                <w:rFonts w:ascii="Arial Narrow" w:hAnsi="Arial Narrow" w:cs="Arial Narrow"/>
                <w:sz w:val="20"/>
              </w:rPr>
            </w:pPr>
            <w:r>
              <w:rPr>
                <w:rFonts w:cs="Arial Narrow" w:ascii="Arial Narrow" w:hAnsi="Arial Narrow"/>
                <w:sz w:val="20"/>
              </w:rPr>
              <w:t>From:</w:t>
            </w:r>
          </w:p>
        </w:tc>
        <w:tc>
          <w:tcPr>
            <w:tcW w:w="5860" w:type="dxa"/>
            <w:tcBorders/>
          </w:tcPr>
          <w:p>
            <w:pPr>
              <w:pStyle w:val="From"/>
              <w:widowControl/>
              <w:rPr>
                <w:rFonts w:ascii="Arial Narrow" w:hAnsi="Arial Narrow" w:cs="Arial Narrow"/>
              </w:rPr>
            </w:pPr>
            <w:r>
              <w:rPr>
                <w:rFonts w:cs="Arial Narrow" w:ascii="Arial Narrow" w:hAnsi="Arial Narrow"/>
              </w:rPr>
              <w:t xml:space="preserve">Shari Stack, Alan Aronowitz, Susan Musch </w:t>
            </w:r>
          </w:p>
          <w:p>
            <w:pPr>
              <w:pStyle w:val="From"/>
              <w:widowControl/>
              <w:rPr>
                <w:rFonts w:ascii="Arial Narrow" w:hAnsi="Arial Narrow" w:cs="Arial Narrow"/>
              </w:rPr>
            </w:pPr>
            <w:r>
              <w:rPr>
                <w:rFonts w:cs="Arial Narrow" w:ascii="Arial Narrow" w:hAnsi="Arial Narrow"/>
              </w:rPr>
            </w:r>
          </w:p>
          <w:p>
            <w:pPr>
              <w:pStyle w:val="From"/>
              <w:widowControl/>
              <w:rPr>
                <w:rFonts w:ascii="Arial Narrow" w:hAnsi="Arial Narrow" w:cs="Arial Narrow"/>
              </w:rPr>
            </w:pPr>
            <w:r>
              <w:rPr>
                <w:rFonts w:cs="Arial Narrow" w:ascii="Arial Narrow" w:hAnsi="Arial Narrow"/>
              </w:rPr>
            </w:r>
          </w:p>
          <w:p>
            <w:pPr>
              <w:pStyle w:val="From"/>
              <w:widowControl/>
              <w:rPr>
                <w:rFonts w:ascii="Arial Narrow" w:hAnsi="Arial Narrow" w:cs="Arial Narrow"/>
              </w:rPr>
            </w:pPr>
            <w:r>
              <w:rPr>
                <w:rFonts w:cs="Arial Narrow" w:ascii="Arial Narrow" w:hAnsi="Arial Narrow"/>
              </w:rPr>
            </w:r>
          </w:p>
        </w:tc>
        <w:tc>
          <w:tcPr>
            <w:tcW w:w="2070" w:type="dxa"/>
            <w:tcBorders/>
          </w:tcPr>
          <w:p>
            <w:pPr>
              <w:pStyle w:val="Normal"/>
              <w:widowControl/>
              <w:ind w:start="-558" w:end="0"/>
              <w:jc w:val="end"/>
              <w:rPr>
                <w:rFonts w:ascii="Arial Narrow" w:hAnsi="Arial Narrow" w:cs="Arial Narrow"/>
                <w:sz w:val="20"/>
              </w:rPr>
            </w:pPr>
            <w:r>
              <w:rPr>
                <w:rFonts w:cs="Arial Narrow" w:ascii="Arial Narrow" w:hAnsi="Arial Narrow"/>
                <w:sz w:val="20"/>
              </w:rPr>
              <w:t>Department:</w:t>
            </w:r>
          </w:p>
        </w:tc>
        <w:tc>
          <w:tcPr>
            <w:tcW w:w="2070" w:type="dxa"/>
            <w:tcBorders/>
          </w:tcPr>
          <w:p>
            <w:pPr>
              <w:pStyle w:val="Department"/>
              <w:widowControl/>
              <w:rPr>
                <w:rFonts w:ascii="Arial Narrow" w:hAnsi="Arial Narrow" w:cs="Arial Narrow"/>
              </w:rPr>
            </w:pPr>
            <w:bookmarkStart w:id="0" w:name="From"/>
            <w:bookmarkEnd w:id="0"/>
            <w:r>
              <w:rPr>
                <w:rFonts w:cs="Arial Narrow" w:ascii="Arial Narrow" w:hAnsi="Arial Narrow"/>
              </w:rPr>
              <w:t>Legal / Tax</w:t>
            </w:r>
          </w:p>
        </w:tc>
      </w:tr>
      <w:tr>
        <w:trPr>
          <w:trHeight w:val="216" w:hRule="exact"/>
        </w:trPr>
        <w:tc>
          <w:tcPr>
            <w:tcW w:w="708" w:type="dxa"/>
            <w:tcBorders/>
          </w:tcPr>
          <w:p>
            <w:pPr>
              <w:pStyle w:val="Normal"/>
              <w:widowControl/>
              <w:ind w:start="-180" w:end="0"/>
              <w:jc w:val="end"/>
              <w:rPr>
                <w:rFonts w:ascii="Arial Narrow" w:hAnsi="Arial Narrow" w:cs="Arial Narrow"/>
                <w:sz w:val="20"/>
              </w:rPr>
            </w:pPr>
            <w:r>
              <w:rPr>
                <w:rFonts w:cs="Arial Narrow" w:ascii="Arial Narrow" w:hAnsi="Arial Narrow"/>
                <w:sz w:val="20"/>
              </w:rPr>
              <w:t xml:space="preserve">CC: </w:t>
            </w:r>
          </w:p>
        </w:tc>
        <w:tc>
          <w:tcPr>
            <w:tcW w:w="5860" w:type="dxa"/>
            <w:tcBorders/>
          </w:tcPr>
          <w:p>
            <w:pPr>
              <w:pStyle w:val="Subject"/>
              <w:widowControl/>
              <w:tabs>
                <w:tab w:val="left" w:pos="540" w:leader="none"/>
              </w:tabs>
              <w:rPr>
                <w:rFonts w:ascii="Arial Narrow" w:hAnsi="Arial Narrow" w:cs="Arial Narrow"/>
              </w:rPr>
            </w:pPr>
            <w:r>
              <w:rPr>
                <w:rFonts w:cs="Arial Narrow" w:ascii="Arial Narrow" w:hAnsi="Arial Narrow"/>
              </w:rPr>
              <w:t xml:space="preserve">Gary Hickerson, Harry Arora, Paul Quilkey, David Minns </w:t>
            </w:r>
          </w:p>
        </w:tc>
        <w:tc>
          <w:tcPr>
            <w:tcW w:w="2070" w:type="dxa"/>
            <w:tcBorders/>
          </w:tcPr>
          <w:p>
            <w:pPr>
              <w:pStyle w:val="Normal"/>
              <w:widowControl/>
              <w:snapToGrid w:val="false"/>
              <w:ind w:start="-180" w:end="0"/>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rPr>
                <w:rFonts w:ascii="Arial Narrow" w:hAnsi="Arial Narrow" w:cs="Arial Narrow"/>
                <w:sz w:val="20"/>
              </w:rPr>
            </w:pPr>
            <w:r>
              <w:rPr>
                <w:rFonts w:cs="Arial Narrow" w:ascii="Arial Narrow" w:hAnsi="Arial Narrow"/>
                <w:sz w:val="20"/>
              </w:rPr>
            </w:r>
          </w:p>
        </w:tc>
      </w:tr>
      <w:tr>
        <w:trPr>
          <w:trHeight w:val="216" w:hRule="exact"/>
        </w:trPr>
        <w:tc>
          <w:tcPr>
            <w:tcW w:w="708" w:type="dxa"/>
            <w:tcBorders/>
          </w:tcPr>
          <w:p>
            <w:pPr>
              <w:pStyle w:val="Normal"/>
              <w:widowControl/>
              <w:snapToGrid w:val="false"/>
              <w:ind w:start="-180" w:end="0"/>
              <w:jc w:val="end"/>
              <w:rPr>
                <w:rFonts w:ascii="Arial Narrow" w:hAnsi="Arial Narrow" w:cs="Arial Narrow"/>
                <w:sz w:val="20"/>
              </w:rPr>
            </w:pPr>
            <w:r>
              <w:rPr>
                <w:rFonts w:cs="Arial Narrow" w:ascii="Arial Narrow" w:hAnsi="Arial Narrow"/>
                <w:sz w:val="20"/>
              </w:rPr>
            </w:r>
          </w:p>
        </w:tc>
        <w:tc>
          <w:tcPr>
            <w:tcW w:w="5860" w:type="dxa"/>
            <w:tcBorders/>
          </w:tcPr>
          <w:p>
            <w:pPr>
              <w:pStyle w:val="Subject"/>
              <w:widowControl/>
              <w:tabs>
                <w:tab w:val="left" w:pos="540" w:leader="none"/>
              </w:tabs>
              <w:snapToGrid w:val="false"/>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ind w:start="-180" w:end="0"/>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rPr>
                <w:rFonts w:ascii="Arial Narrow" w:hAnsi="Arial Narrow" w:cs="Arial Narrow"/>
                <w:sz w:val="20"/>
              </w:rPr>
            </w:pPr>
            <w:r>
              <w:rPr>
                <w:rFonts w:cs="Arial Narrow" w:ascii="Arial Narrow" w:hAnsi="Arial Narrow"/>
                <w:sz w:val="20"/>
              </w:rPr>
            </w:r>
          </w:p>
        </w:tc>
      </w:tr>
      <w:tr>
        <w:trPr>
          <w:trHeight w:val="600" w:hRule="exact"/>
        </w:trPr>
        <w:tc>
          <w:tcPr>
            <w:tcW w:w="708" w:type="dxa"/>
            <w:tcBorders>
              <w:bottom w:val="single" w:sz="12" w:space="0" w:color="000000"/>
            </w:tcBorders>
          </w:tcPr>
          <w:p>
            <w:pPr>
              <w:pStyle w:val="Normal"/>
              <w:widowControl/>
              <w:ind w:start="-180" w:end="0"/>
              <w:jc w:val="end"/>
              <w:rPr>
                <w:rFonts w:ascii="Arial Narrow" w:hAnsi="Arial Narrow" w:cs="Arial Narrow"/>
                <w:sz w:val="20"/>
              </w:rPr>
            </w:pPr>
            <w:r>
              <w:rPr>
                <w:rFonts w:cs="Arial Narrow" w:ascii="Arial Narrow" w:hAnsi="Arial Narrow"/>
                <w:sz w:val="20"/>
              </w:rPr>
              <w:t>Subject:</w:t>
            </w:r>
          </w:p>
        </w:tc>
        <w:tc>
          <w:tcPr>
            <w:tcW w:w="5860" w:type="dxa"/>
            <w:tcBorders>
              <w:bottom w:val="single" w:sz="12" w:space="0" w:color="000000"/>
            </w:tcBorders>
          </w:tcPr>
          <w:p>
            <w:pPr>
              <w:pStyle w:val="Subject"/>
              <w:widowControl/>
              <w:rPr>
                <w:rFonts w:ascii="Arial Narrow" w:hAnsi="Arial Narrow" w:cs="Arial Narrow"/>
              </w:rPr>
            </w:pPr>
            <w:r>
              <w:rPr>
                <w:rFonts w:cs="Arial Narrow" w:ascii="Arial Narrow" w:hAnsi="Arial Narrow"/>
              </w:rPr>
              <w:t xml:space="preserve">Financial Trading in Australia </w:t>
            </w:r>
          </w:p>
        </w:tc>
        <w:tc>
          <w:tcPr>
            <w:tcW w:w="2070" w:type="dxa"/>
            <w:tcBorders>
              <w:bottom w:val="single" w:sz="12" w:space="0" w:color="000000"/>
            </w:tcBorders>
          </w:tcPr>
          <w:p>
            <w:pPr>
              <w:pStyle w:val="Normal"/>
              <w:widowControl/>
              <w:ind w:start="-180" w:end="0"/>
              <w:jc w:val="end"/>
              <w:rPr>
                <w:rFonts w:ascii="Arial Narrow" w:hAnsi="Arial Narrow" w:cs="Arial Narrow"/>
                <w:sz w:val="20"/>
              </w:rPr>
            </w:pPr>
            <w:r>
              <w:rPr>
                <w:rFonts w:cs="Arial Narrow" w:ascii="Arial Narrow" w:hAnsi="Arial Narrow"/>
                <w:sz w:val="20"/>
              </w:rPr>
              <w:t>Date:</w:t>
            </w:r>
          </w:p>
        </w:tc>
        <w:tc>
          <w:tcPr>
            <w:tcW w:w="2070" w:type="dxa"/>
            <w:tcBorders>
              <w:bottom w:val="single" w:sz="12" w:space="0" w:color="000000"/>
            </w:tcBorders>
          </w:tcPr>
          <w:p>
            <w:pPr>
              <w:pStyle w:val="Date"/>
              <w:widowControl/>
              <w:rPr>
                <w:rFonts w:ascii="Arial Narrow" w:hAnsi="Arial Narrow" w:cs="Arial Narrow"/>
              </w:rPr>
            </w:pPr>
            <w:r>
              <w:rPr>
                <w:rFonts w:cs="Arial Narrow" w:ascii="Arial Narrow" w:hAnsi="Arial Narrow"/>
              </w:rPr>
              <w:t>September 7, 1999</w:t>
            </w:r>
          </w:p>
        </w:tc>
      </w:tr>
    </w:tbl>
    <w:p>
      <w:pPr>
        <w:pStyle w:val="Body"/>
        <w:widowControl/>
        <w:ind w:start="270" w:end="0"/>
        <w:rPr/>
      </w:pPr>
      <w:r>
        <w:rPr/>
      </w:r>
      <w:bookmarkStart w:id="1" w:name="StartOfMemo"/>
      <w:bookmarkStart w:id="2" w:name="StartOfMemo"/>
      <w:bookmarkEnd w:id="2"/>
    </w:p>
    <w:p>
      <w:pPr>
        <w:pStyle w:val="BodyText"/>
        <w:widowControl/>
        <w:rPr/>
      </w:pPr>
      <w:r>
        <w:rPr/>
        <w:t xml:space="preserve">The purpose of this Memo is to set forth our advice to you regarding your role as an employee of Enron North America (“ENA”) located temporarily in the Enron Australia office and performing financial trading on ENA’s behalf. </w:t>
      </w:r>
    </w:p>
    <w:p>
      <w:pPr>
        <w:pStyle w:val="BodyText"/>
        <w:widowControl/>
        <w:rPr/>
      </w:pPr>
      <w:r>
        <w:rPr/>
      </w:r>
    </w:p>
    <w:p>
      <w:pPr>
        <w:pStyle w:val="Heading2"/>
        <w:ind w:hanging="0" w:start="0"/>
        <w:rPr>
          <w:rFonts w:ascii="Arial Narrow" w:hAnsi="Arial Narrow" w:cs="Arial Narrow"/>
        </w:rPr>
      </w:pPr>
      <w:r>
        <w:rPr>
          <w:rFonts w:cs="Arial Narrow" w:ascii="Arial Narrow" w:hAnsi="Arial Narrow"/>
        </w:rPr>
        <w:t>Background</w:t>
      </w:r>
    </w:p>
    <w:p>
      <w:pPr>
        <w:pStyle w:val="BodyText"/>
        <w:rPr/>
      </w:pPr>
      <w:r>
        <w:rPr/>
        <w:t>As we understand it, you will be entering into non-commodity hedging transactions such as the purchase/sale and repurchase of governmental and corporate debt obligations (“Bonds”) as well as futures, forwards and derivatives on Bonds, interest rates, currencies, foreign exchange and equities (“Transactions”) on behalf of ENA. The primary purpose is to hedge the interest rate, equity, foreign exchange and currency risks of ENA whilst it is closed.</w:t>
      </w:r>
    </w:p>
    <w:p>
      <w:pPr>
        <w:pStyle w:val="Normal"/>
        <w:rPr>
          <w:rFonts w:ascii="Arial Narrow" w:hAnsi="Arial Narrow" w:cs="Arial Narrow"/>
          <w:sz w:val="20"/>
        </w:rPr>
      </w:pPr>
      <w:r>
        <w:rPr>
          <w:rFonts w:cs="Arial Narrow" w:ascii="Arial Narrow" w:hAnsi="Arial Narrow"/>
          <w:sz w:val="20"/>
        </w:rPr>
      </w:r>
    </w:p>
    <w:p>
      <w:pPr>
        <w:pStyle w:val="BodyText"/>
        <w:widowControl/>
        <w:rPr/>
      </w:pPr>
      <w:r>
        <w:rPr/>
        <w:t xml:space="preserve">Other than the futures transactions, the counterparties to these transactions will be banks and other dealer institutions operating in Australia as well as foreign banks and dealer institutions with no presence in Australia.    </w:t>
      </w:r>
    </w:p>
    <w:p>
      <w:pPr>
        <w:pStyle w:val="BodyText"/>
        <w:widowControl/>
        <w:rPr/>
      </w:pPr>
      <w:r>
        <w:rPr/>
      </w:r>
    </w:p>
    <w:p>
      <w:pPr>
        <w:pStyle w:val="BodyText"/>
        <w:widowControl/>
        <w:rPr>
          <w:b/>
          <w:u w:val="single"/>
        </w:rPr>
      </w:pPr>
      <w:r>
        <w:rPr>
          <w:b/>
          <w:u w:val="single"/>
        </w:rPr>
        <w:t>Recommendations</w:t>
      </w:r>
    </w:p>
    <w:p>
      <w:pPr>
        <w:pStyle w:val="BodyText"/>
        <w:widowControl/>
        <w:rPr/>
      </w:pPr>
      <w:r>
        <w:rPr/>
        <w:t xml:space="preserve">Based on the above, advice of local counsel and in order to avoid contravention of any Australian legal, regulatory or tax restrictions, we would recommend that all Transactions be entered into using the following guidelines: </w:t>
      </w:r>
    </w:p>
    <w:p>
      <w:pPr>
        <w:pStyle w:val="BodyText"/>
        <w:widowControl/>
        <w:rPr/>
      </w:pPr>
      <w:r>
        <w:rPr/>
      </w:r>
    </w:p>
    <w:p>
      <w:pPr>
        <w:pStyle w:val="BodyText"/>
        <w:widowControl/>
        <w:numPr>
          <w:ilvl w:val="0"/>
          <w:numId w:val="2"/>
        </w:numPr>
        <w:rPr/>
      </w:pPr>
      <w:r>
        <w:rPr/>
        <w:t xml:space="preserve">When dealing with customers, you should identify yourself as an employee of (ENA Houston ??) and make it clear that you are entering into the transaction(s) with ENA as </w:t>
      </w:r>
      <w:r>
        <w:rPr>
          <w:u w:val="single"/>
        </w:rPr>
        <w:t>principal</w:t>
      </w:r>
      <w:r>
        <w:rPr/>
        <w:t xml:space="preserve">. If asked, you may say that you are acting as a “facilitator”. </w:t>
      </w:r>
    </w:p>
    <w:p>
      <w:pPr>
        <w:pStyle w:val="BodyText"/>
        <w:widowControl/>
        <w:numPr>
          <w:ilvl w:val="0"/>
          <w:numId w:val="2"/>
        </w:numPr>
        <w:rPr/>
      </w:pPr>
      <w:r>
        <w:rPr/>
        <w:t xml:space="preserve">The responsible persons on ENA’s Trading Desk(s) in Houston will provide you with </w:t>
      </w:r>
      <w:r>
        <w:rPr>
          <w:u w:val="single"/>
        </w:rPr>
        <w:t>parameters</w:t>
      </w:r>
      <w:r>
        <w:rPr/>
        <w:t xml:space="preserve"> within which you may enter into transactions; you are only authorized to enter into transactions which fall squarely within these.   </w:t>
      </w:r>
    </w:p>
    <w:p>
      <w:pPr>
        <w:pStyle w:val="BodyText"/>
        <w:widowControl/>
        <w:numPr>
          <w:ilvl w:val="0"/>
          <w:numId w:val="2"/>
        </w:numPr>
        <w:rPr/>
      </w:pPr>
      <w:r>
        <w:rPr/>
        <w:t xml:space="preserve">The purpose of any transaction should be to </w:t>
      </w:r>
      <w:r>
        <w:rPr>
          <w:u w:val="single"/>
        </w:rPr>
        <w:t>hedge existing risks</w:t>
      </w:r>
      <w:r>
        <w:rPr/>
        <w:t xml:space="preserve"> to which ENA is exposed as a result of its other business activities.</w:t>
      </w:r>
    </w:p>
    <w:p>
      <w:pPr>
        <w:pStyle w:val="BodyText"/>
        <w:widowControl/>
        <w:numPr>
          <w:ilvl w:val="0"/>
          <w:numId w:val="2"/>
        </w:numPr>
        <w:rPr/>
      </w:pPr>
      <w:r>
        <w:rPr/>
        <w:t xml:space="preserve">All futures trading must be done through a </w:t>
      </w:r>
      <w:r>
        <w:rPr>
          <w:u w:val="single"/>
        </w:rPr>
        <w:t>broker</w:t>
      </w:r>
      <w:r>
        <w:rPr/>
        <w:t xml:space="preserve">. Contact ENA Legal if any brokerage documentation is needed.  </w:t>
      </w:r>
    </w:p>
    <w:p>
      <w:pPr>
        <w:pStyle w:val="BodyText"/>
        <w:widowControl/>
        <w:numPr>
          <w:ilvl w:val="0"/>
          <w:numId w:val="2"/>
        </w:numPr>
        <w:rPr/>
      </w:pPr>
      <w:r>
        <w:rPr/>
        <w:t xml:space="preserve">Any OTC derivative transaction should be </w:t>
      </w:r>
      <w:r>
        <w:rPr>
          <w:u w:val="single"/>
        </w:rPr>
        <w:t>customised</w:t>
      </w:r>
      <w:r>
        <w:rPr/>
        <w:t xml:space="preserve"> to fit the needs of ENA and the counterparty. </w:t>
      </w:r>
    </w:p>
    <w:p>
      <w:pPr>
        <w:pStyle w:val="BodyText"/>
        <w:widowControl/>
        <w:numPr>
          <w:ilvl w:val="0"/>
          <w:numId w:val="2"/>
        </w:numPr>
        <w:rPr/>
      </w:pPr>
      <w:r>
        <w:rPr/>
        <w:t xml:space="preserve">Any equity derivatives transaction should be </w:t>
      </w:r>
      <w:r>
        <w:rPr>
          <w:u w:val="single"/>
        </w:rPr>
        <w:t>cash-settled</w:t>
      </w:r>
      <w:r>
        <w:rPr/>
        <w:t xml:space="preserve"> (physically-settled equity options could be considered a “security” under Australian Corporations Law and may require us to obtain a local securities license and implement certain procedures/training)</w:t>
      </w:r>
    </w:p>
    <w:p>
      <w:pPr>
        <w:pStyle w:val="BodyText"/>
        <w:widowControl/>
        <w:numPr>
          <w:ilvl w:val="0"/>
          <w:numId w:val="2"/>
        </w:numPr>
        <w:rPr/>
      </w:pPr>
      <w:r>
        <w:rPr/>
        <w:t xml:space="preserve">In order to open a </w:t>
      </w:r>
      <w:r>
        <w:rPr>
          <w:u w:val="single"/>
        </w:rPr>
        <w:t>credit line</w:t>
      </w:r>
      <w:r>
        <w:rPr/>
        <w:t xml:space="preserve"> for a new counterparty, please contact ENA Credit Department. </w:t>
      </w:r>
    </w:p>
    <w:p>
      <w:pPr>
        <w:pStyle w:val="BodyText"/>
        <w:widowControl/>
        <w:numPr>
          <w:ilvl w:val="0"/>
          <w:numId w:val="2"/>
        </w:numPr>
        <w:rPr/>
      </w:pPr>
      <w:r>
        <w:rPr/>
        <w:t xml:space="preserve">Any completed </w:t>
      </w:r>
      <w:r>
        <w:rPr>
          <w:u w:val="single"/>
        </w:rPr>
        <w:t>Deal Tickets</w:t>
      </w:r>
      <w:r>
        <w:rPr/>
        <w:t xml:space="preserve"> should be faxed to ENA Deal Control for processing and production of Confirmations. The prepared Confirmations will be signed in Houston and faxed directly to the counterparty listed on the Deal Ticket.   </w:t>
      </w:r>
    </w:p>
    <w:p>
      <w:pPr>
        <w:pStyle w:val="BodyText"/>
        <w:widowControl/>
        <w:numPr>
          <w:ilvl w:val="0"/>
          <w:numId w:val="2"/>
        </w:numPr>
        <w:rPr/>
      </w:pPr>
      <w:r>
        <w:rPr/>
        <w:t xml:space="preserve">If </w:t>
      </w:r>
      <w:r>
        <w:rPr>
          <w:u w:val="single"/>
        </w:rPr>
        <w:t>ISDA Master Agreements</w:t>
      </w:r>
      <w:r>
        <w:rPr/>
        <w:t xml:space="preserve"> or other </w:t>
      </w:r>
      <w:r>
        <w:rPr>
          <w:u w:val="single"/>
        </w:rPr>
        <w:t>documentation</w:t>
      </w:r>
      <w:r>
        <w:rPr/>
        <w:t xml:space="preserve"> is needed, please contact ENA Legal. All documentation must be negotiated out of Houston. </w:t>
      </w:r>
    </w:p>
    <w:p>
      <w:pPr>
        <w:pStyle w:val="BodyText"/>
        <w:widowControl/>
        <w:rPr>
          <w:rFonts w:eastAsia="Arial Narrow"/>
        </w:rPr>
      </w:pPr>
      <w:r>
        <w:rPr>
          <w:rFonts w:eastAsia="Arial Narrow"/>
        </w:rPr>
        <w:t xml:space="preserve"> </w:t>
      </w:r>
    </w:p>
    <w:p>
      <w:pPr>
        <w:pStyle w:val="BodyText"/>
        <w:widowControl/>
        <w:rPr/>
      </w:pPr>
      <w:r>
        <w:rPr/>
      </w:r>
    </w:p>
    <w:p>
      <w:pPr>
        <w:pStyle w:val="BodyText"/>
        <w:widowControl/>
        <w:rPr/>
      </w:pPr>
      <w:r>
        <w:rPr/>
        <w:t xml:space="preserve">Please let me, Alan or Susan know if we can be of further assistance.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 w:val="right" w:pos="10800" w:leader="none"/>
      </w:tabs>
      <w:jc w:val="center"/>
      <w:rPr>
        <w:sz w:val="22"/>
      </w:rPr>
    </w:pPr>
    <w:r>
      <w:rPr>
        <w:sz w:val="22"/>
      </w:rPr>
      <w:t>Natural gas.  Electricity.  Endless possibilities.</w:t>
    </w:r>
  </w:p>
  <w:p>
    <w:pPr>
      <w:pStyle w:val="Footer"/>
      <w:widowControl/>
      <w:tabs>
        <w:tab w:val="clear" w:pos="4320"/>
        <w:tab w:val="left" w:pos="3780" w:leader="none"/>
        <w:tab w:val="center" w:pos="7560" w:leader="none"/>
        <w:tab w:val="right" w:pos="8640" w:leader="none"/>
        <w:tab w:val="right" w:pos="10800" w:leader="none"/>
      </w:tabs>
      <w:rPr>
        <w:sz w:val="22"/>
      </w:rPr>
    </w:pPr>
    <w:r>
      <w:rPr>
        <w:sz w:val="2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/mnt/main-storage/datasets/enron-docs/doc/Australia.doc</w:t>
    </w:r>
    <w:r>
      <w:rPr>
        <w:sz w:val="12"/>
      </w:rPr>
      <w:fldChar w:fldCharType="end"/>
    </w:r>
  </w:p>
  <w:p>
    <w:pPr>
      <w:pStyle w:val="Footer"/>
      <w:widowControl/>
      <w:tabs>
        <w:tab w:val="clear" w:pos="4320"/>
        <w:tab w:val="left" w:pos="3780" w:leader="none"/>
        <w:tab w:val="center" w:pos="7560" w:leader="none"/>
        <w:tab w:val="right" w:pos="8640" w:leader="none"/>
        <w:tab w:val="right" w:pos="10800" w:leader="none"/>
      </w:tabs>
      <w:rPr>
        <w:sz w:val="22"/>
      </w:rPr>
    </w:pPr>
    <w:r>
      <w:rPr>
        <w:sz w:val="22"/>
      </w:rPr>
    </w:r>
  </w:p>
  <w:p>
    <w:pPr>
      <w:pStyle w:val="Footer"/>
      <w:widowControl/>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jc w:val="center"/>
      <w:rPr>
        <w:sz w:val="22"/>
      </w:rPr>
    </w:pPr>
    <w:r>
      <w:rPr>
        <w:sz w:val="22"/>
      </w:rPr>
      <w:t>Natural gas.  Electricity.  Endless possibilities.</w:t>
    </w:r>
  </w:p>
  <w:p>
    <w:pPr>
      <w:pStyle w:val="Footer"/>
      <w:widowControl/>
      <w:tabs>
        <w:tab w:val="clear" w:pos="4320"/>
        <w:tab w:val="left" w:pos="3780" w:leader="none"/>
        <w:tab w:val="center" w:pos="7560" w:leader="none"/>
        <w:tab w:val="right" w:pos="8640" w:leader="none"/>
        <w:tab w:val="right" w:pos="10800" w:leader="none"/>
      </w:tabs>
      <w:rPr>
        <w:sz w:val="22"/>
      </w:rPr>
    </w:pPr>
    <w:r>
      <w:rPr>
        <w:sz w:val="22"/>
      </w:rPr>
    </w:r>
  </w:p>
  <w:p>
    <w:pPr>
      <w:pStyle w:val="Footer"/>
      <w:widowControl/>
      <w:tabs>
        <w:tab w:val="clear" w:pos="4320"/>
        <w:tab w:val="left" w:pos="3780" w:leader="none"/>
        <w:tab w:val="center" w:pos="7560" w:leader="none"/>
        <w:tab w:val="right" w:pos="8640" w:leader="none"/>
        <w:tab w:val="right" w:pos="10800" w:leader="none"/>
      </w:tabs>
      <w:rPr>
        <w:sz w:val="22"/>
      </w:rPr>
    </w:pPr>
    <w:r>
      <w:rPr>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-360680</wp:posOffset>
              </wp:positionV>
              <wp:extent cx="3877310" cy="11747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1174750"/>
                      </a:xfrm>
                      <a:prstGeom prst="rect"/>
                      <a:solidFill>
                        <a:srgbClr val="FFFFFF">
                          <a:alpha val="0"/>
                        </a:srgbClr>
                      </a:solidFill>
                    </wps:spPr>
                    <wps:txbx>
                      <w:txbxContent>
                        <w:p>
                          <w:pPr>
                            <w:pStyle w:val="Normal"/>
                            <w:widowControl/>
                            <w:ind w:start="3600" w:end="0"/>
                            <w:rPr>
                              <w:sz w:val="32"/>
                            </w:rPr>
                          </w:pPr>
                          <w:r>
                            <w:rPr>
                              <w:sz w:val="32"/>
                            </w:rPr>
                          </w:r>
                        </w:p>
                        <w:p>
                          <w:pPr>
                            <w:pStyle w:val="Normal"/>
                            <w:widowControl/>
                            <w:ind w:start="3600" w:end="0"/>
                            <w:rPr>
                              <w:sz w:val="32"/>
                            </w:rPr>
                          </w:pPr>
                          <w:r>
                            <w:rPr>
                              <w:sz w:val="32"/>
                            </w:rPr>
                          </w:r>
                        </w:p>
                        <w:p>
                          <w:pPr>
                            <w:pStyle w:val="Normal"/>
                            <w:widowControl/>
                            <w:ind w:start="3600" w:end="0"/>
                            <w:rPr>
                              <w:sz w:val="32"/>
                            </w:rPr>
                          </w:pPr>
                          <w:r>
                            <w:rPr>
                              <w:sz w:val="32"/>
                            </w:rPr>
                          </w:r>
                        </w:p>
                        <w:p>
                          <w:pPr>
                            <w:pStyle w:val="Normal"/>
                            <w:widowControl/>
                            <w:ind w:start="3600" w:end="0"/>
                            <w:rPr>
                              <w:sz w:val="32"/>
                            </w:rPr>
                          </w:pPr>
                          <w:r>
                            <w:rPr>
                              <w:sz w:val="32"/>
                            </w:rPr>
                            <w:t>InterofficeMemorandum</w:t>
                          </w:r>
                        </w:p>
                      </w:txbxContent>
                    </wps:txbx>
                    <wps:bodyPr anchor="t" lIns="0" tIns="0" rIns="0" bIns="0">
                      <a:noAutofit/>
                    </wps:bodyPr>
                  </wps:wsp>
                </a:graphicData>
              </a:graphic>
            </wp:anchor>
          </w:drawing>
        </mc:Choice>
        <mc:Fallback>
          <w:pict>
            <v:rect fillcolor="#FFFFFF" style="position:absolute;rotation:-0;width:305.3pt;height:92.5pt;mso-wrap-distance-left:9.35pt;mso-wrap-distance-right:9.35pt;mso-wrap-distance-top:0pt;mso-wrap-distance-bottom:0pt;margin-top:-28.4pt;mso-position-vertical-relative:text;margin-left:201.3pt;mso-position-horizontal-relative:page">
              <v:fill opacity="0f"/>
              <v:textbox inset="0in,0in,0in,0in">
                <w:txbxContent>
                  <w:p>
                    <w:pPr>
                      <w:pStyle w:val="Normal"/>
                      <w:widowControl/>
                      <w:ind w:start="3600" w:end="0"/>
                      <w:rPr>
                        <w:sz w:val="32"/>
                      </w:rPr>
                    </w:pPr>
                    <w:r>
                      <w:rPr>
                        <w:sz w:val="32"/>
                      </w:rPr>
                    </w:r>
                  </w:p>
                  <w:p>
                    <w:pPr>
                      <w:pStyle w:val="Normal"/>
                      <w:widowControl/>
                      <w:ind w:start="3600" w:end="0"/>
                      <w:rPr>
                        <w:sz w:val="32"/>
                      </w:rPr>
                    </w:pPr>
                    <w:r>
                      <w:rPr>
                        <w:sz w:val="32"/>
                      </w:rPr>
                    </w:r>
                  </w:p>
                  <w:p>
                    <w:pPr>
                      <w:pStyle w:val="Normal"/>
                      <w:widowControl/>
                      <w:ind w:start="3600" w:end="0"/>
                      <w:rPr>
                        <w:sz w:val="32"/>
                      </w:rPr>
                    </w:pPr>
                    <w:r>
                      <w:rPr>
                        <w:sz w:val="32"/>
                      </w:rPr>
                    </w:r>
                  </w:p>
                  <w:p>
                    <w:pPr>
                      <w:pStyle w:val="Normal"/>
                      <w:widowControl/>
                      <w:ind w:start="3600" w:end="0"/>
                      <w:rPr>
                        <w:sz w:val="32"/>
                      </w:rPr>
                    </w:pPr>
                    <w:r>
                      <w:rPr>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both"/>
      <w:outlineLvl w:val="1"/>
    </w:pPr>
    <w:rPr>
      <w:b/>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Arial Narrow" w:hAnsi="Arial Narrow" w:cs="LinePrinter"/>
      <w:b w:val="false"/>
      <w:i w:val="false"/>
      <w:sz w:val="20"/>
      <w:u w:val="non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Arial Narrow" w:hAnsi="Arial Narrow" w:cs="LinePrinter"/>
      <w:b w:val="false"/>
      <w:i w:val="false"/>
      <w:sz w:val="20"/>
      <w:u w:val="none"/>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1999-09-07T14:23:00Z</dcterms:created>
  <dc:creator>ECT</dc:creator>
  <dc:description/>
  <dc:language>en-CA</dc:language>
  <cp:lastModifiedBy>sstack</cp:lastModifiedBy>
  <cp:lastPrinted>1999-07-29T12:48:00Z</cp:lastPrinted>
  <dcterms:modified xsi:type="dcterms:W3CDTF">1999-09-07T17:38:00Z</dcterms:modified>
  <cp:revision>4</cp:revision>
  <dc:subject/>
  <dc:title>       </dc:title>
</cp:coreProperties>
</file>