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Draft Term Sheet</w:t>
      </w:r>
    </w:p>
    <w:p>
      <w:pPr>
        <w:pStyle w:val="Heading1"/>
        <w:ind w:hanging="0" w:start="0"/>
        <w:rPr>
          <w:rFonts w:ascii="Arial" w:hAnsi="Arial" w:cs="Arial"/>
        </w:rPr>
      </w:pPr>
      <w:r>
        <w:rPr>
          <w:rFonts w:cs="Arial" w:ascii="Arial" w:hAnsi="Arial"/>
        </w:rPr>
        <w:t>To</w:t>
      </w:r>
    </w:p>
    <w:p>
      <w:pPr>
        <w:pStyle w:val="Heading1"/>
        <w:ind w:hanging="0" w:start="0"/>
        <w:rPr>
          <w:rFonts w:ascii="Arial" w:hAnsi="Arial" w:cs="Arial"/>
        </w:rPr>
      </w:pPr>
      <w:r>
        <w:rPr>
          <w:rFonts w:cs="Arial" w:ascii="Arial" w:hAnsi="Arial"/>
        </w:rPr>
        <w:t>Austin Energy</w:t>
      </w:r>
    </w:p>
    <w:p>
      <w:pPr>
        <w:pStyle w:val="Heading1"/>
        <w:ind w:hanging="0" w:start="0"/>
        <w:rPr>
          <w:rFonts w:ascii="Arial" w:hAnsi="Arial" w:cs="Arial"/>
        </w:rPr>
      </w:pPr>
      <w:r>
        <w:rPr>
          <w:rFonts w:cs="Arial" w:ascii="Arial" w:hAnsi="Arial"/>
        </w:rPr>
        <w:t>Request for Proposal No. DC01300004</w:t>
      </w:r>
    </w:p>
    <w:p>
      <w:pPr>
        <w:pStyle w:val="Heading1"/>
        <w:ind w:hanging="0" w:start="0"/>
        <w:rPr>
          <w:rFonts w:ascii="Arial" w:hAnsi="Arial" w:cs="Arial"/>
        </w:rPr>
      </w:pPr>
      <w:r>
        <w:rPr>
          <w:rFonts w:cs="Arial" w:ascii="Arial" w:hAnsi="Arial"/>
        </w:rPr>
        <w:t>Proposal for Purchase of renewable Energy Supply</w:t>
      </w:r>
    </w:p>
    <w:p>
      <w:pPr>
        <w:pStyle w:val="Heading1"/>
        <w:ind w:hanging="0" w:start="0"/>
        <w:rPr>
          <w:rFonts w:ascii="Arial" w:hAnsi="Arial" w:cs="Arial"/>
        </w:rPr>
      </w:pPr>
      <w:r>
        <w:rPr>
          <w:rFonts w:cs="Arial" w:ascii="Arial" w:hAnsi="Arial"/>
        </w:rPr>
        <w:t>By</w:t>
      </w:r>
    </w:p>
    <w:p>
      <w:pPr>
        <w:pStyle w:val="Heading1"/>
        <w:ind w:hanging="0" w:start="0"/>
        <w:rPr>
          <w:rFonts w:ascii="Arial" w:hAnsi="Arial" w:cs="Arial"/>
        </w:rPr>
      </w:pPr>
      <w:r>
        <w:rPr>
          <w:rFonts w:cs="Arial" w:ascii="Arial" w:hAnsi="Arial"/>
        </w:rPr>
        <w:t>Enron Power Marketing, Inc.</w:t>
      </w:r>
    </w:p>
    <w:p>
      <w:pPr>
        <w:pStyle w:val="Heading1"/>
        <w:ind w:hanging="0" w:start="0"/>
        <w:rPr>
          <w:rFonts w:ascii="Arial" w:hAnsi="Arial" w:cs="Arial"/>
        </w:rPr>
      </w:pPr>
      <w:r>
        <w:rPr>
          <w:rFonts w:cs="Arial" w:ascii="Arial" w:hAnsi="Arial"/>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ing1"/>
        <w:ind w:hanging="0" w:start="0"/>
        <w:jc w:val="both"/>
        <w:rPr>
          <w:caps w:val="false"/>
          <w:smallCaps w:val="false"/>
          <w:sz w:val="22"/>
        </w:rPr>
      </w:pPr>
      <w:r>
        <w:rPr>
          <w:caps w:val="false"/>
          <w:smallCaps w:val="false"/>
          <w:sz w:val="22"/>
        </w:rPr>
      </w:r>
    </w:p>
    <w:p>
      <w:pPr>
        <w:pStyle w:val="BodyText2"/>
        <w:jc w:val="both"/>
        <w:rPr>
          <w:i/>
          <w:i/>
          <w:sz w:val="22"/>
        </w:rPr>
      </w:pPr>
      <w:r>
        <w:rPr>
          <w:i/>
          <w:sz w:val="22"/>
        </w:rPr>
        <w:t>This is Enron Power Marketing, Inc.’s Draft Term Sheet relating to the above Request for Proposal.  The prices and terms set forth in this Draft Term Sheet are indicative prices and terms only, and are subject to change until, if ever, a definitive agreement relating to the proposed transaction is executed. This Draft Term Sheet is for discussion purposes only, to facilitate the negotiation, preparation, and execution of a definitive agreement.  This Draft Term Sheet is not intended to create a binding or enforceable contract or commitment and may not be relied upon by either Party as a basis for a contract by estoppel or otherwise.  Consummation of any transaction is subject to, among other matters, the following conditions: (i) completion of a due diligence review satisfactory to EPMI in its sole discretion, (ii) receipt of all necessary or advisable regulatory or other approvals; (iii) approval by the Boards of Directors of EPMI and, if applicable, its affiliates, and (iv) negotiation, execution and delivery of a definitive agreement.  All terms, conditions, and pricing will be governed by this Draft Term Sheet should a discrepancy occur between this and any related document provided contemporaneous herewith.</w:t>
      </w:r>
    </w:p>
    <w:p>
      <w:pPr>
        <w:pStyle w:val="Heading1"/>
        <w:ind w:hanging="0" w:start="0"/>
        <w:jc w:val="both"/>
        <w:rPr>
          <w:i/>
          <w:i/>
          <w:caps w:val="false"/>
          <w:smallCaps w:val="false"/>
          <w:sz w:val="22"/>
        </w:rPr>
      </w:pPr>
      <w:r>
        <w:rPr>
          <w:i/>
          <w:caps w:val="false"/>
          <w:smallCaps w:val="false"/>
          <w:sz w:val="22"/>
        </w:rPr>
      </w:r>
    </w:p>
    <w:p>
      <w:pPr>
        <w:pStyle w:val="Normal"/>
        <w:rPr>
          <w:smallCaps/>
          <w:sz w:val="22"/>
        </w:rPr>
      </w:pPr>
      <w:r>
        <w:rPr>
          <w:smallCaps/>
          <w:sz w:val="22"/>
        </w:rPr>
      </w:r>
    </w:p>
    <w:p>
      <w:pPr>
        <w:pStyle w:val="Normal"/>
        <w:spacing w:lineRule="atLeast" w:line="240"/>
        <w:jc w:val="both"/>
        <w:rPr/>
      </w:pPr>
      <w:r>
        <w:rPr>
          <w:rFonts w:cs="Arial" w:ascii="Arial" w:hAnsi="Arial"/>
          <w:b/>
          <w:color w:val="000000"/>
          <w:sz w:val="22"/>
        </w:rPr>
        <w:t>Seller:</w:t>
      </w:r>
      <w:r>
        <w:rPr>
          <w:rFonts w:cs="Arial" w:ascii="Arial" w:hAnsi="Arial"/>
          <w:color w:val="000000"/>
          <w:sz w:val="22"/>
        </w:rPr>
        <w:tab/>
        <w:tab/>
        <w:tab/>
        <w:t>Enron Power Marketing, Inc. (“EPMI”)</w:t>
      </w:r>
    </w:p>
    <w:p>
      <w:pPr>
        <w:pStyle w:val="Normal"/>
        <w:spacing w:lineRule="atLeast" w:line="240"/>
        <w:jc w:val="both"/>
        <w:rPr>
          <w:rFonts w:ascii="Arial" w:hAnsi="Arial" w:cs="Arial"/>
          <w:color w:val="000000"/>
          <w:sz w:val="22"/>
        </w:rPr>
      </w:pPr>
      <w:r>
        <w:rPr>
          <w:rFonts w:cs="Arial" w:ascii="Arial" w:hAnsi="Arial"/>
          <w:color w:val="000000"/>
          <w:sz w:val="22"/>
        </w:rPr>
      </w:r>
    </w:p>
    <w:p>
      <w:pPr>
        <w:pStyle w:val="BodyTextIndent"/>
        <w:jc w:val="both"/>
        <w:rPr/>
      </w:pPr>
      <w:r>
        <w:rPr>
          <w:b/>
          <w:sz w:val="22"/>
        </w:rPr>
        <w:t>Buyer:</w:t>
      </w:r>
      <w:r>
        <w:rPr>
          <w:sz w:val="22"/>
        </w:rPr>
        <w:tab/>
        <w:t>Austin Energy  (“AE”)</w:t>
      </w:r>
    </w:p>
    <w:p>
      <w:pPr>
        <w:pStyle w:val="BodyTextIndent"/>
        <w:jc w:val="both"/>
        <w:rPr>
          <w:sz w:val="22"/>
        </w:rPr>
      </w:pPr>
      <w:r>
        <w:rPr>
          <w:sz w:val="22"/>
        </w:rPr>
      </w:r>
    </w:p>
    <w:p>
      <w:pPr>
        <w:pStyle w:val="BodyTextIndent"/>
        <w:jc w:val="both"/>
        <w:rPr/>
      </w:pPr>
      <w:r>
        <w:rPr>
          <w:b/>
          <w:sz w:val="22"/>
        </w:rPr>
        <w:t>Description:</w:t>
      </w:r>
      <w:r>
        <w:rPr>
          <w:sz w:val="22"/>
        </w:rPr>
        <w:tab/>
        <w:t>Upon execution of a definitive agreement, EPMI would provide renewable energy for Austin Energy from a wind-powered generation facility at the Indian Mesa site located in ERCOT in Pecos County near Iraan, Texas (“The Facility”).  The purpose of EPMI’s submission of this Draft Term Sheet is:</w:t>
      </w:r>
    </w:p>
    <w:p>
      <w:pPr>
        <w:pStyle w:val="BodyTextIndent"/>
        <w:jc w:val="both"/>
        <w:rPr>
          <w:sz w:val="22"/>
        </w:rPr>
      </w:pPr>
      <w:r>
        <w:rPr>
          <w:sz w:val="22"/>
        </w:rPr>
      </w:r>
    </w:p>
    <w:p>
      <w:pPr>
        <w:pStyle w:val="BodyTextIndent"/>
        <w:numPr>
          <w:ilvl w:val="0"/>
          <w:numId w:val="2"/>
        </w:numPr>
        <w:tabs>
          <w:tab w:val="clear" w:pos="720"/>
        </w:tabs>
        <w:ind w:hanging="360" w:start="2520" w:end="0"/>
        <w:jc w:val="both"/>
        <w:rPr>
          <w:sz w:val="22"/>
        </w:rPr>
      </w:pPr>
      <w:r>
        <w:rPr>
          <w:sz w:val="22"/>
        </w:rPr>
        <w:t xml:space="preserve">to provide AE the most price competitive and reliable renewable energy </w:t>
      </w:r>
    </w:p>
    <w:p>
      <w:pPr>
        <w:pStyle w:val="BodyTextIndent"/>
        <w:numPr>
          <w:ilvl w:val="0"/>
          <w:numId w:val="2"/>
        </w:numPr>
        <w:tabs>
          <w:tab w:val="clear" w:pos="720"/>
        </w:tabs>
        <w:ind w:hanging="360" w:start="2520" w:end="0"/>
        <w:jc w:val="both"/>
        <w:rPr>
          <w:sz w:val="22"/>
        </w:rPr>
      </w:pPr>
      <w:r>
        <w:rPr>
          <w:sz w:val="22"/>
        </w:rPr>
        <w:t>to provide AE customers a choice between conventional energy and renewable energy</w:t>
      </w:r>
    </w:p>
    <w:p>
      <w:pPr>
        <w:pStyle w:val="BodyTextIndent"/>
        <w:numPr>
          <w:ilvl w:val="0"/>
          <w:numId w:val="2"/>
        </w:numPr>
        <w:tabs>
          <w:tab w:val="clear" w:pos="720"/>
        </w:tabs>
        <w:ind w:hanging="360" w:start="2520" w:end="0"/>
        <w:jc w:val="both"/>
        <w:rPr>
          <w:sz w:val="22"/>
        </w:rPr>
      </w:pPr>
      <w:r>
        <w:rPr>
          <w:sz w:val="22"/>
        </w:rPr>
        <w:t xml:space="preserve">to respond to the local community’s desire to contribute to creating a cleaner environment, and </w:t>
      </w:r>
    </w:p>
    <w:p>
      <w:pPr>
        <w:pStyle w:val="BodyTextIndent"/>
        <w:numPr>
          <w:ilvl w:val="0"/>
          <w:numId w:val="2"/>
        </w:numPr>
        <w:tabs>
          <w:tab w:val="clear" w:pos="720"/>
        </w:tabs>
        <w:ind w:hanging="360" w:start="2520" w:end="0"/>
        <w:jc w:val="both"/>
        <w:rPr>
          <w:sz w:val="22"/>
        </w:rPr>
      </w:pPr>
      <w:r>
        <w:rPr>
          <w:sz w:val="22"/>
        </w:rPr>
        <w:t>to diversify AE’s generation mix and reduce its vulnerability to fuel supply interruptions and price volatility of natural gas.</w:t>
      </w:r>
    </w:p>
    <w:p>
      <w:pPr>
        <w:pStyle w:val="BodyTextIndent"/>
        <w:jc w:val="both"/>
        <w:rPr>
          <w:sz w:val="22"/>
        </w:rPr>
      </w:pPr>
      <w:r>
        <w:rPr>
          <w:sz w:val="22"/>
        </w:rPr>
      </w:r>
    </w:p>
    <w:p>
      <w:pPr>
        <w:pStyle w:val="BodyTextIndent"/>
        <w:jc w:val="both"/>
        <w:rPr>
          <w:sz w:val="22"/>
        </w:rPr>
      </w:pPr>
      <w:r>
        <w:rPr>
          <w:sz w:val="22"/>
        </w:rPr>
        <w:tab/>
        <w:t>This Draft Term Sheet is for discussion purposes, and is not an inflexible structure.  EPMI welcomes AE to suggest changes to the terms and conditions stated herein and EPMI will suggest alternative pricing and other terms to create a revised Draft Term Sheet suited to AE’s needs.</w:t>
      </w:r>
    </w:p>
    <w:p>
      <w:pPr>
        <w:pStyle w:val="BodyTextIndent"/>
        <w:jc w:val="both"/>
        <w:rPr>
          <w:sz w:val="22"/>
        </w:rPr>
      </w:pPr>
      <w:r>
        <w:rPr>
          <w:sz w:val="22"/>
        </w:rPr>
      </w:r>
    </w:p>
    <w:p>
      <w:pPr>
        <w:pStyle w:val="BodyTextIndent"/>
        <w:jc w:val="both"/>
        <w:rPr>
          <w:b/>
          <w:sz w:val="22"/>
        </w:rPr>
      </w:pPr>
      <w:r>
        <w:rPr>
          <w:b/>
          <w:sz w:val="22"/>
        </w:rPr>
        <w:t>Responder</w:t>
      </w:r>
    </w:p>
    <w:p>
      <w:pPr>
        <w:pStyle w:val="BodyTextIndent"/>
        <w:jc w:val="both"/>
        <w:rPr/>
      </w:pPr>
      <w:r>
        <w:rPr>
          <w:b/>
          <w:sz w:val="22"/>
        </w:rPr>
        <w:t>Information:</w:t>
        <w:tab/>
      </w:r>
      <w:r>
        <w:rPr>
          <w:sz w:val="22"/>
        </w:rPr>
        <w:t xml:space="preserve">This response combines the expertise and experience of two Enron Corporation subsidiaries: the bidding company, Enron Power Marketing, Inc. (“EPMI”), and the building company, Enron Wind Corporation (“EWC”).  </w:t>
      </w:r>
    </w:p>
    <w:p>
      <w:pPr>
        <w:pStyle w:val="BodyTextIndent"/>
        <w:jc w:val="both"/>
        <w:rPr>
          <w:b/>
          <w:sz w:val="22"/>
        </w:rPr>
      </w:pPr>
      <w:r>
        <w:rPr>
          <w:b/>
          <w:sz w:val="22"/>
        </w:rPr>
      </w:r>
    </w:p>
    <w:p>
      <w:pPr>
        <w:pStyle w:val="BodyTextIndent"/>
        <w:jc w:val="both"/>
        <w:rPr>
          <w:sz w:val="22"/>
        </w:rPr>
      </w:pPr>
      <w:r>
        <w:rPr>
          <w:sz w:val="22"/>
        </w:rPr>
        <w:tab/>
        <w:t>EPMI has been providing physical delivery of electricity to wholesale customers throughout the nation for over five years.  EPMI is a FERC licensed power marketer, is certified as a Retail Electric Provider and a Qualified Scheduling Entity in ERCOT.  EPMI’s experience in providing power supply solutions is extensive. Some of the qualifications that have made EPMI successful are:</w:t>
      </w:r>
    </w:p>
    <w:p>
      <w:pPr>
        <w:pStyle w:val="BodyTextIndent"/>
        <w:tabs>
          <w:tab w:val="clear" w:pos="720"/>
          <w:tab w:val="left" w:pos="2610" w:leader="none"/>
        </w:tabs>
        <w:jc w:val="both"/>
        <w:rPr>
          <w:sz w:val="22"/>
        </w:rPr>
      </w:pPr>
      <w:r>
        <w:rPr>
          <w:sz w:val="22"/>
        </w:rPr>
      </w:r>
    </w:p>
    <w:p>
      <w:pPr>
        <w:pStyle w:val="Normal"/>
        <w:numPr>
          <w:ilvl w:val="0"/>
          <w:numId w:val="3"/>
        </w:numPr>
        <w:tabs>
          <w:tab w:val="clear" w:pos="720"/>
        </w:tabs>
        <w:ind w:hanging="180" w:start="2880" w:end="0"/>
        <w:jc w:val="both"/>
        <w:rPr>
          <w:rFonts w:ascii="Arial" w:hAnsi="Arial" w:cs="Arial"/>
          <w:color w:val="000000"/>
          <w:sz w:val="22"/>
        </w:rPr>
      </w:pPr>
      <w:r>
        <w:rPr>
          <w:rFonts w:cs="Arial" w:ascii="Arial" w:hAnsi="Arial"/>
          <w:color w:val="000000"/>
          <w:sz w:val="22"/>
        </w:rPr>
        <w:t>Largest power marketer in North America</w:t>
      </w:r>
    </w:p>
    <w:p>
      <w:pPr>
        <w:pStyle w:val="Normal"/>
        <w:numPr>
          <w:ilvl w:val="0"/>
          <w:numId w:val="3"/>
        </w:numPr>
        <w:tabs>
          <w:tab w:val="clear" w:pos="720"/>
        </w:tabs>
        <w:ind w:hanging="180" w:start="2880" w:end="0"/>
        <w:rPr>
          <w:rFonts w:ascii="Arial" w:hAnsi="Arial" w:cs="Arial"/>
          <w:color w:val="000000"/>
          <w:sz w:val="22"/>
        </w:rPr>
      </w:pPr>
      <w:r>
        <w:rPr>
          <w:rFonts w:cs="Arial" w:ascii="Arial" w:hAnsi="Arial"/>
          <w:color w:val="000000"/>
          <w:sz w:val="22"/>
        </w:rPr>
        <w:t>Largest gas marketer in North America</w:t>
      </w:r>
    </w:p>
    <w:p>
      <w:pPr>
        <w:pStyle w:val="Normal"/>
        <w:numPr>
          <w:ilvl w:val="0"/>
          <w:numId w:val="3"/>
        </w:numPr>
        <w:tabs>
          <w:tab w:val="clear" w:pos="720"/>
        </w:tabs>
        <w:ind w:hanging="180" w:start="2880" w:end="0"/>
        <w:rPr>
          <w:rFonts w:ascii="Arial" w:hAnsi="Arial" w:cs="Arial"/>
          <w:color w:val="000000"/>
          <w:sz w:val="22"/>
        </w:rPr>
      </w:pPr>
      <w:r>
        <w:rPr>
          <w:rFonts w:cs="Arial" w:ascii="Arial" w:hAnsi="Arial"/>
          <w:color w:val="000000"/>
          <w:sz w:val="22"/>
        </w:rPr>
        <w:t xml:space="preserve">Built, owns and operates over 11,000 MW of power generation </w:t>
      </w:r>
    </w:p>
    <w:p>
      <w:pPr>
        <w:pStyle w:val="Normal"/>
        <w:numPr>
          <w:ilvl w:val="0"/>
          <w:numId w:val="3"/>
        </w:numPr>
        <w:tabs>
          <w:tab w:val="clear" w:pos="720"/>
        </w:tabs>
        <w:ind w:hanging="180" w:start="2880" w:end="0"/>
        <w:rPr>
          <w:rFonts w:ascii="Arial" w:hAnsi="Arial" w:cs="Arial"/>
          <w:color w:val="000000"/>
          <w:sz w:val="22"/>
        </w:rPr>
      </w:pPr>
      <w:r>
        <w:rPr>
          <w:rFonts w:cs="Arial" w:ascii="Arial" w:hAnsi="Arial"/>
          <w:color w:val="000000"/>
          <w:sz w:val="22"/>
        </w:rPr>
        <w:t>EPMI is an experienced partner in developing long-term structured power transactions</w:t>
      </w:r>
    </w:p>
    <w:p>
      <w:pPr>
        <w:pStyle w:val="Normal"/>
        <w:numPr>
          <w:ilvl w:val="0"/>
          <w:numId w:val="3"/>
        </w:numPr>
        <w:tabs>
          <w:tab w:val="clear" w:pos="720"/>
        </w:tabs>
        <w:ind w:hanging="180" w:start="2880" w:end="0"/>
        <w:rPr>
          <w:rFonts w:ascii="Arial" w:hAnsi="Arial" w:cs="Arial"/>
          <w:sz w:val="22"/>
        </w:rPr>
      </w:pPr>
      <w:r>
        <w:rPr>
          <w:rFonts w:cs="Arial" w:ascii="Arial" w:hAnsi="Arial"/>
          <w:sz w:val="22"/>
        </w:rPr>
        <w:t>EPMI’s development partner, Enron Wind Development Corp. (“EWDC”), is a premier wind development company with extensive experience with large-scale wind project development, finance, construction, and operation.</w:t>
      </w:r>
    </w:p>
    <w:p>
      <w:pPr>
        <w:pStyle w:val="Normal"/>
        <w:ind w:start="2700" w:end="0"/>
        <w:rPr>
          <w:rFonts w:ascii="Arial" w:hAnsi="Arial" w:cs="Arial"/>
          <w:color w:val="000000"/>
          <w:sz w:val="22"/>
        </w:rPr>
      </w:pPr>
      <w:r>
        <w:rPr>
          <w:rFonts w:cs="Arial" w:ascii="Arial" w:hAnsi="Arial"/>
          <w:color w:val="000000"/>
          <w:sz w:val="22"/>
        </w:rPr>
      </w:r>
    </w:p>
    <w:p>
      <w:pPr>
        <w:pStyle w:val="BodyTextIndent"/>
        <w:ind w:hanging="0" w:end="0"/>
        <w:jc w:val="both"/>
        <w:rPr>
          <w:sz w:val="22"/>
        </w:rPr>
      </w:pPr>
      <w:r>
        <w:rPr>
          <w:sz w:val="22"/>
        </w:rPr>
        <w:t xml:space="preserve">EWC has developed and/or sold more than 1,400 megawatts, comprising more than 4,300 wind turbines worldwide.  For additional information regarding EPMI and EWC, please refer to Attachment A. </w:t>
      </w:r>
    </w:p>
    <w:p>
      <w:pPr>
        <w:pStyle w:val="BodyTextIndent"/>
        <w:ind w:hanging="0" w:end="0"/>
        <w:jc w:val="both"/>
        <w:rPr>
          <w:sz w:val="22"/>
        </w:rPr>
      </w:pPr>
      <w:r>
        <w:rPr>
          <w:sz w:val="22"/>
        </w:rPr>
      </w:r>
    </w:p>
    <w:p>
      <w:pPr>
        <w:pStyle w:val="BodyTextIndent"/>
        <w:jc w:val="both"/>
        <w:rPr>
          <w:b/>
          <w:sz w:val="22"/>
        </w:rPr>
      </w:pPr>
      <w:r>
        <w:rPr>
          <w:b/>
          <w:sz w:val="22"/>
        </w:rPr>
        <w:t xml:space="preserve">Responder </w:t>
      </w:r>
    </w:p>
    <w:p>
      <w:pPr>
        <w:pStyle w:val="BodyTextIndent"/>
        <w:jc w:val="both"/>
        <w:rPr/>
      </w:pPr>
      <w:r>
        <w:rPr>
          <w:b/>
          <w:sz w:val="22"/>
        </w:rPr>
        <w:t>Financial Strength:</w:t>
        <w:tab/>
      </w:r>
      <w:r>
        <w:rPr>
          <w:sz w:val="22"/>
        </w:rPr>
        <w:t>Please refer to Attachment B for a summary of EPMI’s financial condition and the enclosed Enron Corp. Annual Report.</w:t>
      </w:r>
    </w:p>
    <w:p>
      <w:pPr>
        <w:pStyle w:val="BodyTextIndent"/>
        <w:jc w:val="both"/>
        <w:rPr>
          <w:b/>
          <w:sz w:val="22"/>
        </w:rPr>
      </w:pPr>
      <w:r>
        <w:rPr>
          <w:b/>
          <w:sz w:val="22"/>
        </w:rPr>
      </w:r>
    </w:p>
    <w:p>
      <w:pPr>
        <w:pStyle w:val="Heading7"/>
        <w:rPr/>
      </w:pPr>
      <w:r>
        <w:rPr/>
        <w:t xml:space="preserve">Project </w:t>
      </w:r>
    </w:p>
    <w:p>
      <w:pPr>
        <w:pStyle w:val="Heading7"/>
        <w:rPr/>
      </w:pPr>
      <w:r>
        <w:rPr/>
        <w:t>Information:</w:t>
        <w:tab/>
      </w:r>
      <w:r>
        <w:rPr>
          <w:b w:val="false"/>
        </w:rPr>
        <w:t xml:space="preserve">A summary of the Facility’s financing, ownership, and operational structure is included in Attachment C.  Because Indian Mesa Power Partners II (Enron owned subsidiary) owns the facility, a confirmatory letter from Indian Mesa Power Partners II that confirms EPMI owns the rights to the Renewable Energy from the Facility is attached in Attachment C.  Other project data including permits and environmental issues, turbine characterstics, maintenance, and construction information is provided in Attachment E.  </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Product:</w:t>
      </w:r>
      <w:r>
        <w:rPr>
          <w:rFonts w:cs="Arial" w:ascii="Arial" w:hAnsi="Arial"/>
          <w:color w:val="000000"/>
          <w:sz w:val="22"/>
        </w:rPr>
        <w:tab/>
        <w:t>ERCOT Firm Renewable Energy (Wind Generation)</w:t>
      </w:r>
    </w:p>
    <w:p>
      <w:pPr>
        <w:pStyle w:val="BodyTextIndent"/>
        <w:ind w:hanging="0" w:end="0"/>
        <w:jc w:val="both"/>
        <w:rPr>
          <w:sz w:val="22"/>
        </w:rPr>
      </w:pPr>
      <w:r>
        <w:rPr>
          <w:rFonts w:eastAsia="Arial"/>
          <w:color w:val="FF0000"/>
          <w:sz w:val="22"/>
        </w:rPr>
        <w:t xml:space="preserve"> </w:t>
      </w:r>
    </w:p>
    <w:p>
      <w:pPr>
        <w:pStyle w:val="Normal"/>
        <w:spacing w:lineRule="atLeast" w:line="240"/>
        <w:ind w:hanging="2160" w:start="2160" w:end="0"/>
        <w:jc w:val="both"/>
        <w:rPr/>
      </w:pPr>
      <w:r>
        <w:rPr>
          <w:rFonts w:cs="Arial" w:ascii="Arial" w:hAnsi="Arial"/>
          <w:b/>
          <w:color w:val="000000"/>
          <w:sz w:val="22"/>
        </w:rPr>
        <w:t>Firmness:</w:t>
        <w:tab/>
      </w:r>
      <w:r>
        <w:rPr>
          <w:rFonts w:cs="Arial" w:ascii="Arial" w:hAnsi="Arial"/>
          <w:color w:val="000000"/>
          <w:sz w:val="22"/>
        </w:rPr>
        <w:t>The Annual Quantity will be guaranteed with annual based capped liquidated damages if EPMI fails to deliver.  Appropriate cap and liquidated damages to be negotiated.</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Term:</w:t>
        <w:tab/>
      </w:r>
      <w:r>
        <w:rPr>
          <w:rFonts w:cs="Arial" w:ascii="Arial" w:hAnsi="Arial"/>
          <w:color w:val="000000"/>
          <w:sz w:val="22"/>
          <w:u w:val="single"/>
        </w:rPr>
        <w:t>Alternative A</w:t>
      </w:r>
      <w:r>
        <w:rPr>
          <w:rFonts w:cs="Arial" w:ascii="Arial" w:hAnsi="Arial"/>
          <w:color w:val="000000"/>
          <w:sz w:val="22"/>
        </w:rPr>
        <w:t xml:space="preserve">: </w:t>
        <w:tab/>
        <w:t>May 1, 2002 through April 30, 2012 (10 years)</w:t>
      </w:r>
    </w:p>
    <w:p>
      <w:pPr>
        <w:pStyle w:val="Normal"/>
        <w:spacing w:lineRule="atLeast" w:line="240"/>
        <w:ind w:start="2160" w:end="0"/>
        <w:jc w:val="both"/>
        <w:rPr/>
      </w:pPr>
      <w:r>
        <w:rPr>
          <w:rFonts w:cs="Arial" w:ascii="Arial" w:hAnsi="Arial"/>
          <w:color w:val="000000"/>
          <w:sz w:val="22"/>
          <w:u w:val="single"/>
        </w:rPr>
        <w:t>Alternative B</w:t>
      </w:r>
      <w:r>
        <w:rPr>
          <w:rFonts w:cs="Arial" w:ascii="Arial" w:hAnsi="Arial"/>
          <w:color w:val="000000"/>
          <w:sz w:val="22"/>
        </w:rPr>
        <w:t>:</w:t>
        <w:tab/>
        <w:t>May 1, 2002 through April 30, 2022 (20 years)</w:t>
      </w:r>
    </w:p>
    <w:p>
      <w:pPr>
        <w:pStyle w:val="Normal"/>
        <w:spacing w:lineRule="atLeast" w:line="240"/>
        <w:ind w:start="2160" w:end="0"/>
        <w:jc w:val="both"/>
        <w:rPr>
          <w:rFonts w:ascii="Arial" w:hAnsi="Arial" w:cs="Arial"/>
          <w:color w:val="000000"/>
          <w:sz w:val="22"/>
          <w:u w:val="single"/>
        </w:rPr>
      </w:pPr>
      <w:r>
        <w:rPr>
          <w:rFonts w:cs="Arial" w:ascii="Arial" w:hAnsi="Arial"/>
          <w:color w:val="000000"/>
          <w:sz w:val="22"/>
          <w:u w:val="single"/>
        </w:rPr>
      </w:r>
    </w:p>
    <w:p>
      <w:pPr>
        <w:pStyle w:val="Normal"/>
        <w:spacing w:lineRule="atLeast" w:line="240"/>
        <w:ind w:start="2160" w:end="0"/>
        <w:jc w:val="both"/>
        <w:rPr>
          <w:rFonts w:ascii="Arial" w:hAnsi="Arial" w:cs="Arial"/>
          <w:color w:val="000000"/>
          <w:sz w:val="22"/>
        </w:rPr>
      </w:pPr>
      <w:r>
        <w:rPr>
          <w:rFonts w:cs="Arial" w:ascii="Arial" w:hAnsi="Arial"/>
          <w:color w:val="000000"/>
          <w:sz w:val="22"/>
        </w:rPr>
        <w:t>Alternative to be chosen by AE prior to the execution of a definitive agreement.</w:t>
      </w:r>
    </w:p>
    <w:p>
      <w:pPr>
        <w:pStyle w:val="Normal"/>
        <w:spacing w:lineRule="atLeast" w:line="240"/>
        <w:ind w:start="2160" w:end="0"/>
        <w:jc w:val="both"/>
        <w:rPr>
          <w:rFonts w:ascii="Arial" w:hAnsi="Arial" w:cs="Arial"/>
          <w:color w:val="000000"/>
          <w:sz w:val="22"/>
        </w:rPr>
      </w:pPr>
      <w:r>
        <w:rPr>
          <w:rFonts w:cs="Arial" w:ascii="Arial" w:hAnsi="Arial"/>
          <w:color w:val="000000"/>
          <w:sz w:val="22"/>
        </w:rPr>
      </w:r>
    </w:p>
    <w:p>
      <w:pPr>
        <w:pStyle w:val="Normal"/>
        <w:spacing w:lineRule="atLeast" w:line="240"/>
        <w:ind w:start="2160" w:end="0"/>
        <w:jc w:val="both"/>
        <w:rPr>
          <w:rFonts w:ascii="Arial" w:hAnsi="Arial" w:cs="Arial"/>
          <w:color w:val="000000"/>
          <w:sz w:val="22"/>
        </w:rPr>
      </w:pPr>
      <w:r>
        <w:rPr>
          <w:rFonts w:cs="Arial" w:ascii="Arial" w:hAnsi="Arial"/>
          <w:color w:val="000000"/>
          <w:sz w:val="22"/>
        </w:rPr>
        <w:t>EPMI’s Facility could be operating as soon as November 1, 2001.  If AE is interested, EPMI would be willing to discuss a start date earlier than the May 1, 2002 start date provided above.</w:t>
      </w:r>
    </w:p>
    <w:p>
      <w:pPr>
        <w:pStyle w:val="Normal"/>
        <w:spacing w:lineRule="atLeast" w:line="240"/>
        <w:jc w:val="both"/>
        <w:rPr>
          <w:rFonts w:ascii="Arial" w:hAnsi="Arial" w:cs="Arial"/>
          <w:color w:val="000000"/>
          <w:sz w:val="22"/>
        </w:rPr>
      </w:pPr>
      <w:r>
        <w:rPr>
          <w:rFonts w:cs="Arial" w:ascii="Arial" w:hAnsi="Arial"/>
          <w:color w:val="000000"/>
          <w:sz w:val="22"/>
        </w:rPr>
      </w:r>
    </w:p>
    <w:p>
      <w:pPr>
        <w:pStyle w:val="BodyTextIndent"/>
        <w:jc w:val="both"/>
        <w:rPr/>
      </w:pPr>
      <w:r>
        <w:rPr>
          <w:b/>
          <w:sz w:val="22"/>
        </w:rPr>
        <w:t>Capacity Source:</w:t>
        <w:tab/>
      </w:r>
      <w:r>
        <w:rPr>
          <w:sz w:val="22"/>
        </w:rPr>
        <w:t xml:space="preserve">The Facility is a new wind-powered capacity source– see attached map in Attachment F—which will be certified as a renewable energy facility by the Public Utility Commission of Texas ("PUCT") under PUCT Substantive Rule §25.173.  </w:t>
      </w:r>
    </w:p>
    <w:p>
      <w:pPr>
        <w:pStyle w:val="BodyTextIndent"/>
        <w:jc w:val="both"/>
        <w:rPr>
          <w:b/>
          <w:sz w:val="22"/>
        </w:rPr>
      </w:pPr>
      <w:r>
        <w:rPr>
          <w:b/>
          <w:sz w:val="22"/>
        </w:rPr>
      </w:r>
    </w:p>
    <w:p>
      <w:pPr>
        <w:pStyle w:val="BodyTextIndent"/>
        <w:ind w:hanging="0" w:end="0"/>
        <w:jc w:val="both"/>
        <w:rPr>
          <w:sz w:val="22"/>
        </w:rPr>
      </w:pPr>
      <w:r>
        <w:rPr>
          <w:sz w:val="22"/>
        </w:rPr>
        <w:t xml:space="preserve">Because EPMI’s Capacity Source is a new project, please see Attachment E for a description of the regulatory issues/risks and permits/approvals.  Financing information is included in Attachment C.  </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Capacity Quantity:</w:t>
        <w:tab/>
      </w:r>
      <w:r>
        <w:rPr>
          <w:rFonts w:cs="Arial" w:ascii="Arial" w:hAnsi="Arial"/>
          <w:color w:val="000000"/>
          <w:sz w:val="22"/>
        </w:rPr>
        <w:t>135 MW is the nameplate rating of the wind turbines.  After 10% mechanical and transmission losses associated with delivering the renewable energy to the Delivery Point, the maximum output is approximately 121.5 MW.</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Capacity Factors:</w:t>
      </w:r>
      <w:r>
        <w:rPr>
          <w:rFonts w:cs="Arial" w:ascii="Arial" w:hAnsi="Arial"/>
          <w:color w:val="000000"/>
          <w:sz w:val="22"/>
        </w:rPr>
        <w:tab/>
        <w:t>The Indian Mesa site is one of the best wind velocity sites in Texas.  The projected monthly capacity factors are attached in Attachment G.  Upon execution of a definitive agreement, EPMI would provide additional relevant data.</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rFonts w:ascii="Arial" w:hAnsi="Arial" w:cs="Arial"/>
          <w:color w:val="000000"/>
          <w:sz w:val="22"/>
        </w:rPr>
      </w:pPr>
      <w:r>
        <w:rPr>
          <w:rFonts w:cs="Arial" w:ascii="Arial" w:hAnsi="Arial"/>
          <w:b/>
          <w:color w:val="000000"/>
          <w:sz w:val="22"/>
        </w:rPr>
        <w:t>Annual Quantity:</w:t>
        <w:tab/>
      </w:r>
      <w:r>
        <w:rPr>
          <w:rFonts w:cs="Arial" w:ascii="Arial" w:hAnsi="Arial"/>
          <w:color w:val="000000"/>
          <w:sz w:val="22"/>
        </w:rPr>
        <w:t>360,000 MWh per contract year starting May 1</w:t>
      </w:r>
      <w:r>
        <w:rPr>
          <w:rFonts w:cs="Arial" w:ascii="Arial" w:hAnsi="Arial"/>
          <w:color w:val="000000"/>
          <w:sz w:val="22"/>
          <w:vertAlign w:val="superscript"/>
        </w:rPr>
        <w:t>st</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ab/>
      </w:r>
      <w:r>
        <w:rPr>
          <w:rFonts w:cs="Arial" w:ascii="Arial" w:hAnsi="Arial"/>
          <w:color w:val="000000"/>
          <w:sz w:val="22"/>
        </w:rPr>
        <w:t>Once certain milestones are completed, EPMI will be able to supply an additional 115,000 MWh per year.  If AE is interested, EPMI would be willing to discuss providing additional renewable energy.</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r>
    </w:p>
    <w:p>
      <w:pPr>
        <w:pStyle w:val="Normal"/>
        <w:spacing w:lineRule="atLeast" w:line="240"/>
        <w:ind w:hanging="2160" w:start="2160" w:end="0"/>
        <w:jc w:val="both"/>
        <w:rPr/>
      </w:pPr>
      <w:r>
        <w:rPr>
          <w:rFonts w:cs="Arial" w:ascii="Arial" w:hAnsi="Arial"/>
          <w:b/>
          <w:color w:val="000000"/>
          <w:sz w:val="22"/>
        </w:rPr>
        <w:t>Delivery Point:</w:t>
        <w:tab/>
      </w:r>
      <w:r>
        <w:rPr>
          <w:rFonts w:cs="Arial" w:ascii="Arial" w:hAnsi="Arial"/>
          <w:color w:val="000000"/>
          <w:sz w:val="22"/>
        </w:rPr>
        <w:t>Interconnection of the Facility and West Texas Utilities (“WTU”).</w:t>
      </w:r>
    </w:p>
    <w:p>
      <w:pPr>
        <w:pStyle w:val="Heading2"/>
        <w:spacing w:before="0" w:after="0"/>
        <w:ind w:hanging="2142" w:start="2160" w:end="0"/>
        <w:rPr>
          <w:rFonts w:ascii="Arial" w:hAnsi="Arial" w:cs="Arial"/>
          <w:i w:val="false"/>
          <w:i w:val="false"/>
          <w:color w:val="000000"/>
          <w:sz w:val="22"/>
        </w:rPr>
      </w:pPr>
      <w:r>
        <w:rPr>
          <w:rFonts w:cs="Arial"/>
          <w:i w:val="false"/>
          <w:color w:val="000000"/>
          <w:sz w:val="22"/>
        </w:rPr>
      </w:r>
    </w:p>
    <w:p>
      <w:pPr>
        <w:pStyle w:val="BodyText"/>
        <w:ind w:hanging="2160" w:start="2160" w:end="0"/>
        <w:jc w:val="both"/>
        <w:rPr/>
      </w:pPr>
      <w:r>
        <w:rPr>
          <w:b/>
          <w:i w:val="false"/>
          <w:sz w:val="22"/>
        </w:rPr>
        <w:t>Energy Price:</w:t>
        <w:tab/>
      </w:r>
      <w:r>
        <w:rPr>
          <w:i w:val="false"/>
          <w:color w:val="000000"/>
          <w:sz w:val="22"/>
          <w:u w:val="single"/>
        </w:rPr>
        <w:t>Alternative A</w:t>
      </w:r>
      <w:r>
        <w:rPr>
          <w:i w:val="false"/>
          <w:color w:val="000000"/>
          <w:sz w:val="22"/>
        </w:rPr>
        <w:t>:</w:t>
        <w:tab/>
        <w:t>$0.02690 per KWh, escalating 2% per contract year</w:t>
      </w:r>
    </w:p>
    <w:p>
      <w:pPr>
        <w:pStyle w:val="BodyText"/>
        <w:ind w:hanging="2160" w:start="2160" w:end="0"/>
        <w:jc w:val="both"/>
        <w:rPr/>
      </w:pPr>
      <w:r>
        <w:rPr>
          <w:i w:val="false"/>
          <w:color w:val="000000"/>
          <w:sz w:val="22"/>
        </w:rPr>
        <w:tab/>
      </w:r>
      <w:r>
        <w:rPr>
          <w:i w:val="false"/>
          <w:color w:val="000000"/>
          <w:sz w:val="22"/>
          <w:u w:val="single"/>
        </w:rPr>
        <w:t>Alternative B</w:t>
      </w:r>
      <w:r>
        <w:rPr>
          <w:i w:val="false"/>
          <w:color w:val="000000"/>
          <w:sz w:val="22"/>
        </w:rPr>
        <w:t>:</w:t>
        <w:tab/>
        <w:t>$0.02720 per KWh, escalating 2% per contract year</w:t>
      </w:r>
    </w:p>
    <w:p>
      <w:pPr>
        <w:pStyle w:val="BodyText"/>
        <w:ind w:hanging="2160" w:start="2160" w:end="0"/>
        <w:jc w:val="both"/>
        <w:rPr>
          <w:i w:val="false"/>
          <w:i w:val="false"/>
          <w:color w:val="000000"/>
          <w:sz w:val="22"/>
        </w:rPr>
      </w:pPr>
      <w:r>
        <w:rPr>
          <w:i w:val="false"/>
          <w:color w:val="000000"/>
          <w:sz w:val="22"/>
        </w:rPr>
      </w:r>
    </w:p>
    <w:p>
      <w:pPr>
        <w:pStyle w:val="Heading5"/>
        <w:rPr>
          <w:sz w:val="22"/>
        </w:rPr>
      </w:pPr>
      <w:r>
        <w:rPr>
          <w:sz w:val="22"/>
        </w:rPr>
        <w:t>Capacity Charge:</w:t>
        <w:tab/>
      </w:r>
      <w:r>
        <w:rPr>
          <w:b w:val="false"/>
          <w:sz w:val="22"/>
        </w:rPr>
        <w:t>$0</w:t>
      </w:r>
    </w:p>
    <w:p>
      <w:pPr>
        <w:pStyle w:val="Normal"/>
        <w:spacing w:lineRule="atLeast" w:line="240"/>
        <w:ind w:hanging="2160" w:start="2160" w:end="0"/>
        <w:jc w:val="both"/>
        <w:rPr>
          <w:rFonts w:ascii="Arial" w:hAnsi="Arial" w:cs="Arial"/>
          <w:b/>
          <w:color w:val="000000"/>
          <w:sz w:val="22"/>
        </w:rPr>
      </w:pPr>
      <w:r>
        <w:rPr>
          <w:rFonts w:cs="Arial" w:ascii="Arial" w:hAnsi="Arial"/>
          <w:b/>
          <w:color w:val="000000"/>
          <w:sz w:val="22"/>
        </w:rPr>
        <w:tab/>
      </w:r>
    </w:p>
    <w:p>
      <w:pPr>
        <w:pStyle w:val="BodyText"/>
        <w:ind w:hanging="2160" w:start="2160" w:end="0"/>
        <w:jc w:val="both"/>
        <w:rPr/>
      </w:pPr>
      <w:r>
        <w:rPr>
          <w:b/>
          <w:i w:val="false"/>
          <w:sz w:val="22"/>
        </w:rPr>
        <w:t>Schedule:</w:t>
      </w:r>
      <w:r>
        <w:rPr>
          <w:i w:val="false"/>
          <w:sz w:val="22"/>
        </w:rPr>
        <w:tab/>
        <w:t xml:space="preserve">AE must take all renewable energy produced by the Facility at the Delivery Point up to 109% of the Annual Quantity.  </w:t>
      </w:r>
    </w:p>
    <w:p>
      <w:pPr>
        <w:pStyle w:val="BodyText"/>
        <w:jc w:val="both"/>
        <w:rPr>
          <w:b/>
          <w:i w:val="false"/>
          <w:i w:val="false"/>
          <w:sz w:val="22"/>
        </w:rPr>
      </w:pPr>
      <w:r>
        <w:rPr>
          <w:b/>
          <w:i w:val="false"/>
          <w:sz w:val="22"/>
        </w:rPr>
      </w:r>
    </w:p>
    <w:p>
      <w:pPr>
        <w:pStyle w:val="BodyText"/>
        <w:ind w:hanging="2160" w:start="2160" w:end="0"/>
        <w:jc w:val="both"/>
        <w:rPr>
          <w:b/>
          <w:i w:val="false"/>
          <w:i w:val="false"/>
          <w:sz w:val="22"/>
        </w:rPr>
      </w:pPr>
      <w:r>
        <w:rPr>
          <w:b/>
          <w:i w:val="false"/>
          <w:sz w:val="22"/>
        </w:rPr>
        <w:t xml:space="preserve">Qualified </w:t>
      </w:r>
    </w:p>
    <w:p>
      <w:pPr>
        <w:pStyle w:val="BodyText"/>
        <w:ind w:hanging="2160" w:start="2160" w:end="0"/>
        <w:jc w:val="both"/>
        <w:rPr>
          <w:b/>
          <w:i w:val="false"/>
          <w:i w:val="false"/>
          <w:sz w:val="22"/>
        </w:rPr>
      </w:pPr>
      <w:r>
        <w:rPr>
          <w:b/>
          <w:i w:val="false"/>
          <w:sz w:val="22"/>
        </w:rPr>
        <w:t xml:space="preserve">Scheduling Entity </w:t>
      </w:r>
    </w:p>
    <w:p>
      <w:pPr>
        <w:pStyle w:val="BodyText"/>
        <w:ind w:hanging="2160" w:start="2160" w:end="0"/>
        <w:jc w:val="both"/>
        <w:rPr/>
      </w:pPr>
      <w:r>
        <w:rPr>
          <w:b/>
          <w:i w:val="false"/>
          <w:sz w:val="22"/>
        </w:rPr>
        <w:t>Services:</w:t>
        <w:tab/>
      </w:r>
      <w:r>
        <w:rPr>
          <w:i w:val="false"/>
          <w:sz w:val="22"/>
        </w:rPr>
        <w:t>AE could provide Qualified Scheduling Entity (“QSE”) services for themselves or contract with EPMI to provide this service. Upon execution of a separate definitive agreement for QSE services, EPMI would provide QSE services to AE.  AE would be responsible for forecasting output and communicating schedules to EPMI, EPMI as QSE would communicate those schedules to the ERCOT ISO pursuant to the ERCOT Protocols.  AE would be responsible for all imbalance settlement charges bsed on the schedule they provide to EPMI.  EPMI is a PUCT certified QSE in Texas.</w:t>
      </w:r>
    </w:p>
    <w:p>
      <w:pPr>
        <w:pStyle w:val="BodyText"/>
        <w:ind w:hanging="2160" w:start="2160" w:end="0"/>
        <w:jc w:val="both"/>
        <w:rPr>
          <w:b/>
          <w:i w:val="false"/>
          <w:i w:val="false"/>
          <w:sz w:val="22"/>
        </w:rPr>
      </w:pPr>
      <w:r>
        <w:rPr>
          <w:b/>
          <w:i w:val="false"/>
          <w:sz w:val="22"/>
        </w:rPr>
      </w:r>
    </w:p>
    <w:p>
      <w:pPr>
        <w:pStyle w:val="BodyText"/>
        <w:ind w:hanging="2160" w:start="2160" w:end="0"/>
        <w:jc w:val="both"/>
        <w:rPr>
          <w:b/>
          <w:i w:val="false"/>
          <w:i w:val="false"/>
          <w:sz w:val="22"/>
        </w:rPr>
      </w:pPr>
      <w:r>
        <w:rPr>
          <w:b/>
          <w:i w:val="false"/>
          <w:sz w:val="22"/>
        </w:rPr>
        <w:t>Buy-out Price:</w:t>
        <w:tab/>
      </w:r>
      <w:r>
        <w:rPr>
          <w:i w:val="false"/>
          <w:sz w:val="22"/>
        </w:rPr>
        <w:t>AE has the right to buy-out of the agreement at any time.  EPMI will provide AE a buy-out price in a timely manner based on market prices.  AE can request a buy-out price no more than once per contract year.</w:t>
      </w:r>
    </w:p>
    <w:p>
      <w:pPr>
        <w:pStyle w:val="Normal"/>
        <w:ind w:hanging="2160" w:start="2160" w:end="0"/>
        <w:jc w:val="both"/>
        <w:rPr>
          <w:rFonts w:ascii="Arial" w:hAnsi="Arial" w:cs="Arial"/>
          <w:b/>
          <w:sz w:val="22"/>
        </w:rPr>
      </w:pPr>
      <w:r>
        <w:rPr>
          <w:rFonts w:cs="Arial" w:ascii="Arial" w:hAnsi="Arial"/>
          <w:b/>
          <w:sz w:val="22"/>
        </w:rPr>
        <w:t xml:space="preserve">Transmission </w:t>
      </w:r>
    </w:p>
    <w:p>
      <w:pPr>
        <w:pStyle w:val="Normal"/>
        <w:ind w:hanging="2160" w:start="2160" w:end="0"/>
        <w:jc w:val="both"/>
        <w:rPr/>
      </w:pPr>
      <w:r>
        <w:rPr>
          <w:rFonts w:cs="Arial" w:ascii="Arial" w:hAnsi="Arial"/>
          <w:b/>
          <w:sz w:val="22"/>
        </w:rPr>
        <w:t>Accessibility:</w:t>
        <w:tab/>
      </w:r>
      <w:r>
        <w:rPr>
          <w:rFonts w:cs="Arial" w:ascii="Arial" w:hAnsi="Arial"/>
          <w:color w:val="000000"/>
          <w:sz w:val="22"/>
        </w:rPr>
        <w:t>Two separate interconnection facilities will be constructed and interconnect the Facility with West Texas Utilities’ ("WTU") 138kV Rio Pecos to Fort Lancaster substation transmission line and 69kV North McCamey to Tippet substation transmission line.  One or both of these interconnections will be operational prior to May 1, 2002.</w:t>
      </w:r>
    </w:p>
    <w:p>
      <w:pPr>
        <w:pStyle w:val="Normal"/>
        <w:ind w:hanging="2160" w:start="2160" w:end="0"/>
        <w:jc w:val="both"/>
        <w:rPr>
          <w:rFonts w:ascii="Arial" w:hAnsi="Arial" w:cs="Arial"/>
          <w:b/>
          <w:color w:val="000000"/>
          <w:sz w:val="22"/>
        </w:rPr>
      </w:pPr>
      <w:r>
        <w:rPr>
          <w:rFonts w:cs="Arial" w:ascii="Arial" w:hAnsi="Arial"/>
          <w:b/>
          <w:color w:val="000000"/>
          <w:sz w:val="22"/>
        </w:rPr>
      </w:r>
    </w:p>
    <w:p>
      <w:pPr>
        <w:pStyle w:val="Normal"/>
        <w:ind w:hanging="2160" w:start="2160" w:end="0"/>
        <w:jc w:val="both"/>
        <w:rPr/>
      </w:pPr>
      <w:r>
        <w:rPr>
          <w:rFonts w:cs="Arial" w:ascii="Arial" w:hAnsi="Arial"/>
          <w:b/>
          <w:sz w:val="22"/>
        </w:rPr>
        <w:tab/>
      </w:r>
      <w:r>
        <w:rPr>
          <w:rFonts w:cs="Arial" w:ascii="Arial" w:hAnsi="Arial"/>
          <w:color w:val="000000"/>
          <w:sz w:val="22"/>
        </w:rPr>
        <w:t>An interconnection agreement has been negotiated with WTU and is pending internal Enron approval.</w:t>
      </w:r>
    </w:p>
    <w:p>
      <w:pPr>
        <w:pStyle w:val="Normal"/>
        <w:ind w:hanging="2160" w:start="2160" w:end="0"/>
        <w:jc w:val="both"/>
        <w:rPr>
          <w:rFonts w:ascii="Arial" w:hAnsi="Arial" w:cs="Arial"/>
          <w:color w:val="000000"/>
          <w:sz w:val="22"/>
        </w:rPr>
      </w:pPr>
      <w:r>
        <w:rPr>
          <w:rFonts w:cs="Arial" w:ascii="Arial" w:hAnsi="Arial"/>
          <w:color w:val="000000"/>
          <w:sz w:val="22"/>
        </w:rPr>
      </w:r>
    </w:p>
    <w:p>
      <w:pPr>
        <w:pStyle w:val="Normal"/>
        <w:ind w:hanging="2160" w:start="2160" w:end="0"/>
        <w:jc w:val="both"/>
        <w:rPr>
          <w:rFonts w:ascii="Arial" w:hAnsi="Arial" w:cs="Arial"/>
          <w:b/>
          <w:sz w:val="22"/>
        </w:rPr>
      </w:pPr>
      <w:r>
        <w:rPr>
          <w:rFonts w:cs="Arial" w:ascii="Arial" w:hAnsi="Arial"/>
          <w:b/>
          <w:sz w:val="22"/>
        </w:rPr>
      </w:r>
    </w:p>
    <w:p>
      <w:pPr>
        <w:pStyle w:val="Normal"/>
        <w:ind w:hanging="2160" w:start="2160" w:end="0"/>
        <w:jc w:val="both"/>
        <w:rPr>
          <w:rFonts w:ascii="Arial" w:hAnsi="Arial" w:cs="Arial"/>
          <w:b/>
          <w:sz w:val="22"/>
        </w:rPr>
      </w:pPr>
      <w:r>
        <w:rPr>
          <w:rFonts w:cs="Arial" w:ascii="Arial" w:hAnsi="Arial"/>
          <w:b/>
          <w:sz w:val="22"/>
        </w:rPr>
        <w:t xml:space="preserve">Transmission and </w:t>
      </w:r>
    </w:p>
    <w:p>
      <w:pPr>
        <w:pStyle w:val="Normal"/>
        <w:ind w:hanging="2160" w:start="2160" w:end="0"/>
        <w:jc w:val="both"/>
        <w:rPr/>
      </w:pPr>
      <w:r>
        <w:rPr>
          <w:rFonts w:cs="Arial" w:ascii="Arial" w:hAnsi="Arial"/>
          <w:b/>
          <w:sz w:val="22"/>
        </w:rPr>
        <w:t>Ancillary Services:</w:t>
      </w:r>
      <w:r>
        <w:rPr>
          <w:rFonts w:cs="Arial" w:ascii="Arial" w:hAnsi="Arial"/>
          <w:sz w:val="22"/>
        </w:rPr>
        <w:tab/>
        <w:t>EPMI would be responsible for all ancillary services and transmission prior to the Delivery Point, AE would be responsible for all ancillary services and transmission at and from the Delivery Point.</w:t>
      </w:r>
    </w:p>
    <w:p>
      <w:pPr>
        <w:pStyle w:val="Normal"/>
        <w:ind w:hanging="2160" w:start="2160" w:end="0"/>
        <w:jc w:val="both"/>
        <w:rPr>
          <w:rFonts w:ascii="Arial" w:hAnsi="Arial" w:cs="Arial"/>
          <w:b/>
          <w:sz w:val="22"/>
        </w:rPr>
      </w:pPr>
      <w:r>
        <w:rPr>
          <w:rFonts w:cs="Arial" w:ascii="Arial" w:hAnsi="Arial"/>
          <w:b/>
          <w:sz w:val="22"/>
        </w:rPr>
      </w:r>
    </w:p>
    <w:p>
      <w:pPr>
        <w:pStyle w:val="Normal"/>
        <w:ind w:hanging="2160" w:start="2160" w:end="0"/>
        <w:jc w:val="both"/>
        <w:rPr>
          <w:rFonts w:ascii="Arial" w:hAnsi="Arial" w:cs="Arial"/>
          <w:b/>
          <w:sz w:val="22"/>
        </w:rPr>
      </w:pPr>
      <w:r>
        <w:rPr>
          <w:rFonts w:cs="Arial" w:ascii="Arial" w:hAnsi="Arial"/>
          <w:b/>
          <w:sz w:val="22"/>
        </w:rPr>
        <w:t>Planned Outages:</w:t>
        <w:tab/>
      </w:r>
      <w:r>
        <w:rPr>
          <w:rFonts w:cs="Arial" w:ascii="Arial" w:hAnsi="Arial"/>
          <w:sz w:val="22"/>
        </w:rPr>
        <w:t>Forced and planned outages estimates are included in Attachment G - Monthly Capacity Factors’ estimates.  EPMI would cooperate with AE regarding scheduling planned outages.  EPMI when commercially reasonable will minimize the period of planned outages and avoid scheduling planned outages during the summer period (June-September).</w:t>
      </w:r>
    </w:p>
    <w:p>
      <w:pPr>
        <w:pStyle w:val="Normal"/>
        <w:ind w:hanging="2160" w:start="2160" w:end="0"/>
        <w:jc w:val="both"/>
        <w:rPr>
          <w:rFonts w:ascii="Arial" w:hAnsi="Arial" w:cs="Arial"/>
          <w:b/>
          <w:sz w:val="22"/>
        </w:rPr>
      </w:pPr>
      <w:r>
        <w:rPr>
          <w:rFonts w:cs="Arial" w:ascii="Arial" w:hAnsi="Arial"/>
          <w:b/>
          <w:sz w:val="22"/>
        </w:rPr>
        <w:t xml:space="preserve">MBE/WBE </w:t>
      </w:r>
    </w:p>
    <w:p>
      <w:pPr>
        <w:pStyle w:val="Normal"/>
        <w:ind w:hanging="2160" w:start="2160" w:end="0"/>
        <w:jc w:val="both"/>
        <w:rPr>
          <w:rFonts w:ascii="Arial" w:hAnsi="Arial" w:cs="Arial"/>
          <w:color w:val="FF0000"/>
          <w:sz w:val="22"/>
        </w:rPr>
      </w:pPr>
      <w:r>
        <w:rPr>
          <w:rFonts w:cs="Arial" w:ascii="Arial" w:hAnsi="Arial"/>
          <w:b/>
          <w:sz w:val="22"/>
        </w:rPr>
        <w:t>Requirements:</w:t>
        <w:tab/>
      </w:r>
      <w:r>
        <w:rPr>
          <w:rFonts w:cs="Arial" w:ascii="Arial" w:hAnsi="Arial"/>
          <w:sz w:val="22"/>
        </w:rPr>
        <w:t>Because this Draft Term Sheet provides no subcontracting opportunities, EPMI is providing no Subcontracting Plan as part of this Draft Term Sheet.  EPMI has enclosed a signed MBE/WBE Form.</w:t>
      </w:r>
    </w:p>
    <w:p>
      <w:pPr>
        <w:pStyle w:val="Normal"/>
        <w:ind w:hanging="2160" w:start="2160" w:end="0"/>
        <w:jc w:val="both"/>
        <w:rPr>
          <w:rFonts w:ascii="Arial" w:hAnsi="Arial" w:cs="Arial"/>
          <w:b/>
          <w:color w:val="FF0000"/>
          <w:sz w:val="22"/>
        </w:rPr>
      </w:pPr>
      <w:r>
        <w:rPr>
          <w:rFonts w:cs="Arial" w:ascii="Arial" w:hAnsi="Arial"/>
          <w:b/>
          <w:color w:val="FF0000"/>
          <w:sz w:val="22"/>
        </w:rPr>
      </w:r>
    </w:p>
    <w:p>
      <w:pPr>
        <w:pStyle w:val="BodyTextIndent"/>
        <w:jc w:val="both"/>
        <w:rPr>
          <w:b/>
          <w:color w:val="000000"/>
          <w:sz w:val="22"/>
        </w:rPr>
      </w:pPr>
      <w:r>
        <w:rPr>
          <w:b/>
          <w:color w:val="000000"/>
          <w:sz w:val="22"/>
        </w:rPr>
        <w:t xml:space="preserve">Additional </w:t>
      </w:r>
    </w:p>
    <w:p>
      <w:pPr>
        <w:pStyle w:val="BodyTextIndent"/>
        <w:jc w:val="both"/>
        <w:rPr/>
      </w:pPr>
      <w:r>
        <w:rPr>
          <w:b/>
          <w:color w:val="000000"/>
          <w:sz w:val="22"/>
        </w:rPr>
        <w:t>Information:</w:t>
      </w:r>
      <w:r>
        <w:rPr>
          <w:color w:val="000000"/>
          <w:sz w:val="22"/>
        </w:rPr>
        <w:t xml:space="preserve"> </w:t>
        <w:tab/>
        <w:t>Additional information as requested by AE in the Request for Proposal No. DC01300004 (“RFP”) Section 600, 1, (A-K) is included in the Appendix.</w:t>
      </w:r>
    </w:p>
    <w:p>
      <w:pPr>
        <w:pStyle w:val="Normal"/>
        <w:ind w:hanging="2160" w:start="2160" w:end="0"/>
        <w:jc w:val="both"/>
        <w:rPr>
          <w:rFonts w:ascii="Arial" w:hAnsi="Arial" w:cs="Arial"/>
          <w:color w:val="FF0000"/>
          <w:sz w:val="22"/>
        </w:rPr>
      </w:pPr>
      <w:r>
        <w:rPr>
          <w:rFonts w:cs="Arial" w:ascii="Arial" w:hAnsi="Arial"/>
          <w:color w:val="FF0000"/>
          <w:sz w:val="22"/>
        </w:rPr>
      </w:r>
    </w:p>
    <w:p>
      <w:pPr>
        <w:pStyle w:val="Normal"/>
        <w:ind w:hanging="2160" w:start="2160" w:end="0"/>
        <w:jc w:val="both"/>
        <w:rPr>
          <w:rFonts w:ascii="Arial" w:hAnsi="Arial" w:cs="Arial"/>
          <w:b/>
          <w:color w:val="FF0000"/>
          <w:sz w:val="22"/>
        </w:rPr>
      </w:pPr>
      <w:r>
        <w:rPr>
          <w:rFonts w:cs="Arial" w:ascii="Arial" w:hAnsi="Arial"/>
          <w:b/>
          <w:color w:val="FF0000"/>
          <w:sz w:val="22"/>
        </w:rPr>
      </w:r>
    </w:p>
    <w:p>
      <w:pPr>
        <w:pStyle w:val="Normal"/>
        <w:ind w:hanging="2160" w:start="2160" w:end="0"/>
        <w:jc w:val="both"/>
        <w:rPr/>
      </w:pPr>
      <w:r>
        <w:rPr>
          <w:rFonts w:cs="Arial" w:ascii="Arial" w:hAnsi="Arial"/>
          <w:b/>
          <w:sz w:val="22"/>
        </w:rPr>
        <w:t>Confidentiality:</w:t>
      </w:r>
      <w:r>
        <w:rPr>
          <w:rFonts w:cs="Arial" w:ascii="Arial" w:hAnsi="Arial"/>
          <w:sz w:val="22"/>
        </w:rPr>
        <w:tab/>
        <w:t>The existence of this Draft Term Sheet and all terms and conditions contained herein are confidential between Buyer and Seller and their duly appointed representatives and shall not be disclosed to third parties.</w:t>
      </w:r>
    </w:p>
    <w:p>
      <w:pPr>
        <w:pStyle w:val="BodyText"/>
        <w:ind w:hanging="2160" w:start="2160" w:end="0"/>
        <w:jc w:val="both"/>
        <w:rPr>
          <w:rFonts w:ascii="Arial" w:hAnsi="Arial" w:cs="Arial"/>
          <w:b/>
          <w:i w:val="false"/>
          <w:i w:val="false"/>
          <w:sz w:val="22"/>
        </w:rPr>
      </w:pPr>
      <w:r>
        <w:rPr>
          <w:rFonts w:cs="Arial"/>
          <w:b/>
          <w:i w:val="false"/>
          <w:sz w:val="22"/>
        </w:rPr>
      </w:r>
    </w:p>
    <w:p>
      <w:pPr>
        <w:pStyle w:val="Heading6"/>
        <w:rPr>
          <w:sz w:val="22"/>
        </w:rPr>
      </w:pPr>
      <w:r>
        <w:rPr>
          <w:sz w:val="22"/>
        </w:rPr>
        <w:t xml:space="preserve">Exceptions to RFP </w:t>
      </w:r>
    </w:p>
    <w:p>
      <w:pPr>
        <w:pStyle w:val="Normal"/>
        <w:ind w:hanging="2160" w:start="2160" w:end="0"/>
        <w:jc w:val="both"/>
        <w:rPr>
          <w:rFonts w:ascii="Arial" w:hAnsi="Arial" w:cs="Arial"/>
          <w:b/>
          <w:sz w:val="22"/>
        </w:rPr>
      </w:pPr>
      <w:r>
        <w:rPr>
          <w:rFonts w:cs="Arial" w:ascii="Arial" w:hAnsi="Arial"/>
          <w:b/>
          <w:sz w:val="22"/>
        </w:rPr>
        <w:t xml:space="preserve">and Basic Terms </w:t>
      </w:r>
    </w:p>
    <w:p>
      <w:pPr>
        <w:pStyle w:val="Normal"/>
        <w:ind w:hanging="2160" w:start="2160" w:end="0"/>
        <w:jc w:val="both"/>
        <w:rPr/>
      </w:pPr>
      <w:r>
        <w:rPr>
          <w:rFonts w:cs="Arial" w:ascii="Arial" w:hAnsi="Arial"/>
          <w:b/>
          <w:sz w:val="22"/>
        </w:rPr>
        <w:t>&amp; Conditions:</w:t>
      </w:r>
      <w:r>
        <w:rPr>
          <w:rFonts w:cs="Arial" w:ascii="Arial" w:hAnsi="Arial"/>
          <w:sz w:val="22"/>
        </w:rPr>
        <w:tab/>
        <w:t>See Attachment H for EPMI’s exceptions to AE’s RFP terms and conditions.</w:t>
      </w:r>
    </w:p>
    <w:p>
      <w:pPr>
        <w:pStyle w:val="Normal"/>
        <w:ind w:hanging="2160" w:start="2160" w:end="0"/>
        <w:jc w:val="both"/>
        <w:rPr>
          <w:rFonts w:ascii="Arial" w:hAnsi="Arial" w:cs="Arial"/>
          <w:sz w:val="22"/>
        </w:rPr>
      </w:pPr>
      <w:r>
        <w:rPr>
          <w:rFonts w:cs="Arial" w:ascii="Arial" w:hAnsi="Arial"/>
          <w:sz w:val="22"/>
        </w:rPr>
      </w:r>
    </w:p>
    <w:p>
      <w:pPr>
        <w:pStyle w:val="BodyText"/>
        <w:jc w:val="both"/>
        <w:rPr>
          <w:rFonts w:ascii="Arial" w:hAnsi="Arial" w:cs="Arial"/>
          <w:b/>
          <w:i w:val="false"/>
          <w:i w:val="false"/>
          <w:sz w:val="22"/>
        </w:rPr>
      </w:pPr>
      <w:r>
        <w:rPr>
          <w:rFonts w:cs="Arial"/>
          <w:b/>
          <w:i w:val="false"/>
          <w:sz w:val="22"/>
        </w:rPr>
      </w:r>
    </w:p>
    <w:p>
      <w:pPr>
        <w:pStyle w:val="BodyText"/>
        <w:jc w:val="both"/>
        <w:rPr>
          <w:b/>
          <w:i w:val="false"/>
          <w:i w:val="false"/>
          <w:sz w:val="22"/>
        </w:rPr>
      </w:pPr>
      <w:r>
        <w:rPr>
          <w:b/>
          <w:i w:val="false"/>
          <w:sz w:val="22"/>
        </w:rPr>
      </w:r>
    </w:p>
    <w:p>
      <w:pPr>
        <w:pStyle w:val="BodyText"/>
        <w:jc w:val="both"/>
        <w:rPr>
          <w:b/>
          <w:i w:val="false"/>
          <w:i w:val="false"/>
          <w:sz w:val="22"/>
        </w:rPr>
      </w:pPr>
      <w:r>
        <w:rPr>
          <w:b/>
          <w:i w:val="false"/>
          <w:sz w:val="22"/>
        </w:rPr>
        <w:t>Not An Offer, For Discussion Purposes Only:  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credit and limitation of damages and remedies.  Neither party shall disclose the terms and provisions of this Draft Term Sheet to any third party.</w:t>
      </w:r>
    </w:p>
    <w:p>
      <w:pPr>
        <w:sectPr>
          <w:headerReference w:type="default" r:id="rId2"/>
          <w:footerReference w:type="default" r:id="rId3"/>
          <w:type w:val="nextPage"/>
          <w:pgSz w:w="12240" w:h="15840"/>
          <w:pgMar w:left="1800" w:right="1800" w:gutter="0" w:header="720" w:top="1710" w:footer="934" w:bottom="1440"/>
          <w:pgNumType w:fmt="decimal"/>
          <w:formProt w:val="false"/>
          <w:textDirection w:val="lrTb"/>
          <w:docGrid w:type="default" w:linePitch="360" w:charSpace="0"/>
        </w:sectPr>
        <w:pStyle w:val="BodyText"/>
        <w:jc w:val="both"/>
        <w:rPr>
          <w:b/>
          <w:i w:val="false"/>
          <w:i w:val="false"/>
          <w:sz w:val="22"/>
        </w:rPr>
      </w:pPr>
      <w:r>
        <w:rPr>
          <w:b/>
          <w:i w:val="false"/>
          <w:sz w:val="22"/>
        </w:rPr>
      </w:r>
    </w:p>
    <w:p>
      <w:pPr>
        <w:pStyle w:val="BodyText"/>
        <w:rPr>
          <w:b/>
          <w:i w:val="false"/>
          <w:i w:val="false"/>
          <w:sz w:val="22"/>
        </w:rPr>
      </w:pPr>
      <w:r>
        <w:rPr>
          <w:b/>
          <w:i w:val="false"/>
          <w:sz w:val="22"/>
        </w:rPr>
      </w:r>
    </w:p>
    <w:sectPr>
      <w:headerReference w:type="default" r:id="rId4"/>
      <w:headerReference w:type="first" r:id="rId5"/>
      <w:footerReference w:type="default" r:id="rId6"/>
      <w:footerReference w:type="first" r:id="rId7"/>
      <w:type w:val="nextPage"/>
      <w:pgSz w:w="12240" w:h="15840"/>
      <w:pgMar w:left="1800" w:right="1800" w:gutter="0" w:header="720" w:top="1710" w:footer="93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eastAsia="en-CA"/>
      </w:rPr>
    </w:pPr>
    <w:r>
      <w:rPr>
        <w:lang w:val="en-CA" w:eastAsia="en-CA"/>
      </w:rPr>
      <w:drawing>
        <wp:anchor behindDoc="1" distT="0" distB="0" distL="114935" distR="114935" simplePos="0" locked="0" layoutInCell="1" allowOverlap="1" relativeHeight="6">
          <wp:simplePos x="0" y="0"/>
          <wp:positionH relativeFrom="column">
            <wp:posOffset>4892040</wp:posOffset>
          </wp:positionH>
          <wp:positionV relativeFrom="paragraph">
            <wp:posOffset>25400</wp:posOffset>
          </wp:positionV>
          <wp:extent cx="606425" cy="609600"/>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pPr>
    <w:r>
      <w:rPr/>
    </w:r>
  </w:p>
  <w:p>
    <w:pPr>
      <w:pStyle w:val="Footer"/>
      <w:jc w:val="center"/>
      <w:rPr/>
    </w:pPr>
    <w:r>
      <w:rPr/>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eastAsia="en-CA"/>
      </w:rPr>
    </w:pPr>
    <w:r>
      <w:rPr>
        <w:lang w:val="en-CA" w:eastAsia="en-CA"/>
      </w:rPr>
      <w:drawing>
        <wp:anchor behindDoc="1" distT="0" distB="0" distL="114935" distR="114935" simplePos="0" locked="0" layoutInCell="1" allowOverlap="1" relativeHeight="7">
          <wp:simplePos x="0" y="0"/>
          <wp:positionH relativeFrom="column">
            <wp:posOffset>4892040</wp:posOffset>
          </wp:positionH>
          <wp:positionV relativeFrom="paragraph">
            <wp:posOffset>25400</wp:posOffset>
          </wp:positionV>
          <wp:extent cx="606425" cy="609600"/>
          <wp:effectExtent l="0" t="0" r="0" b="0"/>
          <wp:wrapNone/>
          <wp:docPr id="2" name="ENE_C_WHI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_C_WHI Copy 1" descr="" title=""/>
                  <pic:cNvPicPr>
                    <a:picLocks noChangeAspect="1" noChangeArrowheads="1"/>
                  </pic:cNvPicPr>
                </pic:nvPicPr>
                <pic:blipFill>
                  <a:blip r:embed="rId1"/>
                  <a:srcRect l="-6" t="-6" r="-6" b="-6"/>
                  <a:stretch>
                    <a:fillRect/>
                  </a:stretch>
                </pic:blipFill>
                <pic:spPr bwMode="auto">
                  <a:xfrm>
                    <a:off x="0" y="0"/>
                    <a:ext cx="606425" cy="609600"/>
                  </a:xfrm>
                  <a:prstGeom prst="rect">
                    <a:avLst/>
                  </a:prstGeom>
                  <a:noFill/>
                </pic:spPr>
              </pic:pic>
            </a:graphicData>
          </a:graphic>
        </wp:anchor>
      </w:drawing>
    </w:r>
  </w:p>
  <w:p>
    <w:pPr>
      <w:pStyle w:val="Footer"/>
      <w:jc w:val="center"/>
      <w:rPr/>
    </w:pPr>
    <w:r>
      <w:rPr/>
    </w:r>
  </w:p>
  <w:p>
    <w:pPr>
      <w:pStyle w:val="Footer"/>
      <w:jc w:val="center"/>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b/>
      </w:rPr>
    </w:pPr>
    <w:r>
      <w:rPr>
        <w:b/>
      </w:rPr>
      <w:t>PROPRIETARY &amp; CONFIDENTIAL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b/>
      </w:rPr>
    </w:pPr>
    <w:r>
      <w:rPr>
        <w:b/>
      </w:rPr>
      <w:t>PROPRIETARY &amp; CONFIDENTIAL INFORMATION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tLeast" w:line="240"/>
      <w:ind w:hanging="1980" w:start="1980" w:end="0"/>
      <w:jc w:val="center"/>
      <w:outlineLvl w:val="3"/>
    </w:pPr>
    <w:rPr>
      <w:rFonts w:ascii="Arial" w:hAnsi="Arial" w:cs="Arial"/>
      <w:b/>
      <w:color w:val="000000"/>
    </w:rPr>
  </w:style>
  <w:style w:type="paragraph" w:styleId="Heading5">
    <w:name w:val="heading 5"/>
    <w:basedOn w:val="Normal"/>
    <w:next w:val="Normal"/>
    <w:qFormat/>
    <w:pPr>
      <w:keepNext w:val="true"/>
      <w:numPr>
        <w:ilvl w:val="4"/>
        <w:numId w:val="1"/>
      </w:numPr>
      <w:spacing w:lineRule="atLeast" w:line="240"/>
      <w:ind w:hanging="2160" w:start="2160" w:end="0"/>
      <w:jc w:val="both"/>
      <w:outlineLvl w:val="4"/>
    </w:pPr>
    <w:rPr>
      <w:rFonts w:ascii="Arial" w:hAnsi="Arial" w:cs="Arial"/>
      <w:b/>
      <w:color w:val="000000"/>
    </w:rPr>
  </w:style>
  <w:style w:type="paragraph" w:styleId="Heading6">
    <w:name w:val="heading 6"/>
    <w:basedOn w:val="Normal"/>
    <w:next w:val="Normal"/>
    <w:qFormat/>
    <w:pPr>
      <w:keepNext w:val="true"/>
      <w:numPr>
        <w:ilvl w:val="5"/>
        <w:numId w:val="1"/>
      </w:numPr>
      <w:ind w:hanging="2160" w:start="2160" w:end="0"/>
      <w:jc w:val="both"/>
      <w:outlineLvl w:val="5"/>
    </w:pPr>
    <w:rPr>
      <w:rFonts w:ascii="Arial" w:hAnsi="Arial" w:cs="Arial"/>
      <w:b/>
    </w:rPr>
  </w:style>
  <w:style w:type="paragraph" w:styleId="Heading7">
    <w:name w:val="heading 7"/>
    <w:basedOn w:val="Normal"/>
    <w:next w:val="Normal"/>
    <w:qFormat/>
    <w:pPr>
      <w:keepNext w:val="true"/>
      <w:numPr>
        <w:ilvl w:val="6"/>
        <w:numId w:val="1"/>
      </w:numPr>
      <w:ind w:hanging="2160" w:start="2160" w:end="0"/>
      <w:outlineLvl w:val="6"/>
    </w:pPr>
    <w:rPr>
      <w:rFonts w:ascii="Arial" w:hAnsi="Arial" w:cs="Arial"/>
      <w:b/>
      <w:color w:val="000000"/>
      <w:sz w:val="22"/>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b/>
      <w:i/>
      <w:color w:val="000000"/>
    </w:rPr>
  </w:style>
  <w:style w:type="character" w:styleId="WW8Num7z0">
    <w:name w:val="WW8Num7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color w:val="00000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rPr>
  </w:style>
  <w:style w:type="paragraph" w:styleId="BodyTextIndent2">
    <w:name w:val="Body Text Indent 2"/>
    <w:basedOn w:val="Normal"/>
    <w:qFormat/>
    <w:pPr>
      <w:spacing w:lineRule="atLeast" w:line="240"/>
      <w:ind w:hanging="2250" w:start="2250" w:end="0"/>
    </w:pPr>
    <w:rPr>
      <w:rFonts w:ascii="Arial" w:hAnsi="Arial" w:cs="Arial"/>
      <w:color w:val="000000"/>
    </w:rPr>
  </w:style>
  <w:style w:type="paragraph" w:styleId="BodyText2">
    <w:name w:val="Body Text 2"/>
    <w:basedOn w:val="Normal"/>
    <w:qFormat/>
    <w:pPr>
      <w:jc w:val="center"/>
    </w:pPr>
    <w:rPr>
      <w:rFonts w:ascii="Arial" w:hAnsi="Arial" w:cs="Arial"/>
      <w:b/>
    </w:rPr>
  </w:style>
  <w:style w:type="paragraph" w:styleId="BodyTextIndent3">
    <w:name w:val="Body Text Indent 3"/>
    <w:basedOn w:val="Normal"/>
    <w:qFormat/>
    <w:pPr>
      <w:ind w:hanging="0" w:start="2160" w:end="0"/>
      <w:jc w:val="both"/>
    </w:pPr>
    <w:rPr>
      <w:rFonts w:ascii="Arial" w:hAnsi="Arial" w:cs="Arial"/>
    </w:rPr>
  </w:style>
  <w:style w:type="paragraph" w:styleId="ListContinue">
    <w:name w:val="List Continue"/>
    <w:basedOn w:val="List"/>
    <w:qFormat/>
    <w:pPr>
      <w:numPr>
        <w:ilvl w:val="0"/>
        <w:numId w:val="4"/>
      </w:numPr>
      <w:spacing w:before="0" w:after="120"/>
      <w:ind w:hanging="0" w:start="1440" w:end="0"/>
    </w:pPr>
    <w:rPr>
      <w:rFonts w:ascii="Arial" w:hAnsi="Arial" w:cs="Arial"/>
      <w:sz w:val="22"/>
    </w:rPr>
  </w:style>
  <w:style w:type="paragraph" w:styleId="BodyText3">
    <w:name w:val="Body Text 3"/>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2001-01-18T18:37:00Z</dcterms:created>
  <dc:creator>Michael J. Curry</dc:creator>
  <dc:description/>
  <dc:language>en-CA</dc:language>
  <cp:lastModifiedBy>cahn</cp:lastModifiedBy>
  <cp:lastPrinted>2001-01-18T13:42:00Z</cp:lastPrinted>
  <dcterms:modified xsi:type="dcterms:W3CDTF">2001-01-18T18:42:00Z</dcterms:modified>
  <cp:revision>3</cp:revision>
  <dc:subject/>
  <dc:title>Dave,  Here is an indicative three year proposal for your consideration:</dc:title>
</cp:coreProperties>
</file>