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(Cooling Degree Day) - AUSTRALIA</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240"/>
        <w:jc w:val="both"/>
        <w:rPr>
          <w:sz w:val="22"/>
        </w:rPr>
      </w:pPr>
      <w:r>
        <w:rPr>
          <w:b/>
          <w:sz w:val="22"/>
          <w:u w:val="single"/>
        </w:rPr>
        <w:t>Terms of Transaction</w:t>
      </w:r>
      <w:r>
        <w:rPr>
          <w:sz w:val="22"/>
        </w:rPr>
        <w:t xml:space="preserve">. </w:t>
      </w:r>
    </w:p>
    <w:p>
      <w:pPr>
        <w:pStyle w:val="Normal"/>
        <w:keepNext w:val="true"/>
        <w:spacing w:before="0" w:after="240"/>
        <w:jc w:val="both"/>
        <w:rPr/>
      </w:pPr>
      <w:r>
        <w:rPr>
          <w:b/>
          <w:sz w:val="22"/>
        </w:rPr>
        <w:t>Transaction Type</w:t>
      </w:r>
      <w:r>
        <w:rPr>
          <w:sz w:val="22"/>
        </w:rPr>
        <w:t>:  Cooling Degree Day (“CDD”) Swap.</w:t>
      </w:r>
    </w:p>
    <w:p>
      <w:pPr>
        <w:pStyle w:val="Normal"/>
        <w:keepNext w:val="true"/>
        <w:spacing w:before="0" w:after="240"/>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spacing w:before="0" w:after="240"/>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p>
      <w:pPr>
        <w:pStyle w:val="Normal"/>
        <w:tabs>
          <w:tab w:val="clear" w:pos="720"/>
          <w:tab w:val="left" w:pos="2205" w:leader="none"/>
          <w:tab w:val="left" w:pos="8856" w:leader="none"/>
        </w:tabs>
        <w:rPr/>
      </w:pPr>
      <w:r>
        <w:rPr>
          <w:b/>
          <w:sz w:val="22"/>
        </w:rPr>
        <w:t>Fixed Amount Payer</w:t>
      </w:r>
      <w:r>
        <w:rPr>
          <w:sz w:val="22"/>
        </w:rPr>
        <w:t>: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CDD for each day is equal to the greater of (i) the non-rounded average of the daily maximum and daily minimum temperatures in Reference Degrees from and including 9:00 AM on that day to and including 8.59 AM on the next day local time as measured by Reporting Service, and reported by the Reporting Agency, for the Reference Weather Station minus the Reference Basis or (ii) zero. </w:t>
      </w:r>
    </w:p>
    <w:p>
      <w:pPr>
        <w:pStyle w:val="BodyText"/>
        <w:rPr/>
      </w:pPr>
      <w:r>
        <w:rPr/>
      </w:r>
    </w:p>
    <w:p>
      <w:pPr>
        <w:pStyle w:val="Normal"/>
        <w:jc w:val="both"/>
        <w:rPr/>
      </w:pPr>
      <w:r>
        <w:rPr>
          <w:b/>
          <w:sz w:val="22"/>
        </w:rPr>
        <w:t>Reporting Service</w:t>
      </w:r>
      <w:r>
        <w:rPr>
          <w:sz w:val="22"/>
        </w:rPr>
        <w:t>: The Bureau of Meteorology of the Commonwealth of Australia established under the Meteorology Act 1955 or its successor organisation.</w:t>
      </w:r>
    </w:p>
    <w:p>
      <w:pPr>
        <w:pStyle w:val="Normal"/>
        <w:jc w:val="both"/>
        <w:rPr>
          <w:sz w:val="22"/>
        </w:rPr>
      </w:pPr>
      <w:r>
        <w:rPr>
          <w:sz w:val="22"/>
        </w:rPr>
      </w:r>
    </w:p>
    <w:p>
      <w:pPr>
        <w:pStyle w:val="Normal"/>
        <w:jc w:val="both"/>
        <w:rPr/>
      </w:pPr>
      <w:r>
        <w:rPr>
          <w:b/>
          <w:sz w:val="22"/>
        </w:rPr>
        <w:t>Reporting Agency:</w:t>
      </w:r>
      <w:r>
        <w:rPr>
          <w:sz w:val="22"/>
        </w:rPr>
        <w:t xml:space="preserve"> National Climate Centre of the Reporting Service.</w:t>
      </w:r>
    </w:p>
    <w:p>
      <w:pPr>
        <w:pStyle w:val="Normal"/>
        <w:jc w:val="both"/>
        <w:rPr>
          <w:sz w:val="22"/>
        </w:rPr>
      </w:pPr>
      <w:r>
        <w:rPr>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sz w:val="22"/>
        </w:rPr>
      </w:pPr>
      <w:r>
        <w:rPr>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5"/>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5"/>
        </w:numPr>
        <w:jc w:val="both"/>
        <w:rPr>
          <w:sz w:val="22"/>
        </w:rPr>
      </w:pPr>
      <w:r>
        <w:rPr>
          <w:sz w:val="22"/>
        </w:rPr>
        <w:t xml:space="preserve">In accordance with the above procedures, the daily maximum or daily minimum temperature as appropriate shall be determined for the corresponding day of each of the previous 30 years at  the Fallback Reference Weather Station ( </w:t>
      </w:r>
      <w:r>
        <w:rPr>
          <w:sz w:val="22"/>
          <w:lang w:eastAsia="en-US"/>
        </w:rPr>
        <w:t xml:space="preserve">or in the event such data is not available, from the closest geographical location that publishes data for that period </w:t>
      </w:r>
      <w:r>
        <w:rPr>
          <w:sz w:val="22"/>
        </w:rPr>
        <w:t>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5"/>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5"/>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5"/>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lang w:eastAsia="en-US"/>
        </w:rPr>
        <w:t xml:space="preserve">The data used to determine the Floating Amount (and to the extent required, data for the FRWS) shall be obtained from the “Daily Temperature and Climate Archive” of  the </w:t>
      </w:r>
      <w:r>
        <w:rPr>
          <w:sz w:val="22"/>
        </w:rPr>
        <w:t xml:space="preserve">Reporting Agency </w:t>
      </w:r>
      <w:r>
        <w:rPr>
          <w:sz w:val="22"/>
          <w:lang w:eastAsia="en-US"/>
        </w:rPr>
        <w:t xml:space="preserve">or any successor thereto. To the extent that the Reporting Service data is corrected or adjusted within 95 days of the end of the Calculation Period then the adjusted or corrected number(s) shall be obtained from the "Daily Temperature and Climate Archive" of the </w:t>
      </w:r>
      <w:r>
        <w:rPr>
          <w:sz w:val="22"/>
        </w:rPr>
        <w:t xml:space="preserve">Reporting Agency </w:t>
      </w:r>
      <w:r>
        <w:rPr>
          <w:sz w:val="22"/>
          <w:lang w:eastAsia="en-US"/>
        </w:rPr>
        <w:t xml:space="preserve">or any successor. Notwithstanding the foregoing, if the </w:t>
      </w:r>
      <w:r>
        <w:rPr>
          <w:sz w:val="22"/>
        </w:rPr>
        <w:t xml:space="preserve">Reporting Agency </w:t>
      </w:r>
      <w:r>
        <w:rPr>
          <w:sz w:val="22"/>
          <w:lang w:eastAsia="en-US"/>
        </w:rPr>
        <w:t>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lang w:eastAsia="en-US"/>
        </w:rPr>
      </w:pPr>
      <w:r>
        <w:rPr>
          <w:sz w:val="22"/>
          <w:lang w:eastAsia="en-US"/>
        </w:rPr>
      </w:r>
    </w:p>
    <w:p>
      <w:pPr>
        <w:pStyle w:val="Normal"/>
        <w:tabs>
          <w:tab w:val="clear" w:pos="720"/>
          <w:tab w:val="left" w:pos="2205" w:leader="none"/>
          <w:tab w:val="left" w:pos="8856" w:leader="none"/>
        </w:tabs>
        <w:jc w:val="both"/>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lang w:eastAsia="en-US"/>
        </w:rPr>
        <w:t>Payment Amount</w:t>
      </w:r>
      <w:r>
        <w:rPr>
          <w:sz w:val="22"/>
          <w:lang w:eastAsia="en-US"/>
        </w:rPr>
        <w:t>:  Notwithstanding any provision of the Agreement to the contrary, if the Strike Amount Differential is a:</w:t>
      </w:r>
    </w:p>
    <w:p>
      <w:pPr>
        <w:pStyle w:val="Normal"/>
        <w:numPr>
          <w:ilvl w:val="0"/>
          <w:numId w:val="4"/>
        </w:numPr>
        <w:jc w:val="both"/>
        <w:rPr>
          <w:sz w:val="22"/>
          <w:lang w:eastAsia="en-US"/>
        </w:rPr>
      </w:pPr>
      <w:r>
        <w:rPr>
          <w:sz w:val="22"/>
          <w:lang w:eastAsia="en-US"/>
        </w:rPr>
        <w:t xml:space="preserve">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 </w:t>
      </w:r>
    </w:p>
    <w:p>
      <w:pPr>
        <w:pStyle w:val="Normal"/>
        <w:numPr>
          <w:ilvl w:val="0"/>
          <w:numId w:val="4"/>
        </w:numPr>
        <w:jc w:val="both"/>
        <w:rPr>
          <w:sz w:val="22"/>
          <w:lang w:eastAsia="en-US"/>
        </w:rPr>
      </w:pPr>
      <w:r>
        <w:rPr>
          <w:sz w:val="22"/>
          <w:lang w:eastAsia="en-US"/>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7"/>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Termination Currency will be Australian Dollars.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11"/>
        </w:numPr>
        <w:tabs>
          <w:tab w:val="clear" w:pos="720"/>
          <w:tab w:val="left" w:pos="450" w:leader="none"/>
          <w:tab w:val="left" w:pos="1350" w:leader="none"/>
          <w:tab w:val="left" w:pos="1869" w:leader="none"/>
        </w:tabs>
        <w:spacing w:before="0" w:after="120"/>
        <w:jc w:val="both"/>
        <w:rPr>
          <w:sz w:val="22"/>
        </w:rPr>
      </w:pPr>
      <w:r>
        <w:rPr>
          <w:color w:val="000000"/>
          <w:sz w:val="22"/>
          <w:lang w:eastAsia="en-US"/>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(a)</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lineRule="auto" w:line="240" w:before="120" w:after="0"/>
        <w:ind w:hanging="720" w:start="720" w:end="0"/>
        <w:rPr/>
      </w:pPr>
      <w:r>
        <w:rPr>
          <w:rFonts w:cs="Times New Roman" w:ascii="Times New Roman" w:hAnsi="Times New Roman"/>
        </w:rPr>
        <w:t>(b)</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ind w:hanging="720" w:start="720" w:end="0"/>
        <w:jc w:val="both"/>
        <w:rPr>
          <w:rFonts w:ascii="Times New Roman" w:hAnsi="Times New Roman" w:cs="Times New Roman"/>
          <w:sz w:val="22"/>
        </w:rPr>
      </w:pPr>
      <w:r>
        <w:rPr>
          <w:rFonts w:cs="Times New Roman"/>
          <w:sz w:val="22"/>
        </w:rPr>
      </w:r>
    </w:p>
    <w:p>
      <w:pPr>
        <w:pStyle w:val="Normal"/>
        <w:ind w:hanging="720" w:start="720" w:end="0"/>
        <w:jc w:val="both"/>
        <w:rPr/>
      </w:pPr>
      <w:r>
        <w:rPr>
          <w:sz w:val="22"/>
        </w:rPr>
        <w:t>(c)</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ind w:hanging="357" w:start="805" w:end="0"/>
        <w:jc w:val="both"/>
        <w:rPr>
          <w:sz w:val="22"/>
        </w:rPr>
      </w:pPr>
      <w:r>
        <w:rPr>
          <w:sz w:val="22"/>
        </w:rPr>
      </w:r>
    </w:p>
    <w:p>
      <w:pPr>
        <w:pStyle w:val="Normal"/>
        <w:numPr>
          <w:ilvl w:val="0"/>
          <w:numId w:val="3"/>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numPr>
          <w:ilvl w:val="0"/>
          <w:numId w:val="9"/>
        </w:numPr>
        <w:spacing w:before="0" w:after="0"/>
        <w:rPr>
          <w:b/>
          <w:sz w:val="22"/>
          <w:u w:val="single"/>
        </w:rPr>
      </w:pPr>
      <w:r>
        <w:rPr>
          <w:b/>
          <w:sz w:val="22"/>
          <w:u w:val="single"/>
        </w:rPr>
        <w:t>Set-off.</w:t>
      </w:r>
    </w:p>
    <w:p>
      <w:pPr>
        <w:pStyle w:val="BodyTextIndent2"/>
        <w:widowControl/>
        <w:spacing w:before="0" w:after="0"/>
        <w:ind w:start="0" w:end="0"/>
        <w:rPr>
          <w:b/>
          <w:sz w:val="22"/>
          <w:u w:val="single"/>
        </w:rPr>
      </w:pPr>
      <w:r>
        <w:rPr>
          <w:b/>
          <w:sz w:val="22"/>
          <w:u w:val="single"/>
        </w:rPr>
      </w:r>
    </w:p>
    <w:p>
      <w:pPr>
        <w:pStyle w:val="Normal"/>
        <w:ind w:hanging="709" w:start="709" w:end="0"/>
        <w:jc w:val="both"/>
        <w:rPr>
          <w:sz w:val="22"/>
        </w:rPr>
      </w:pPr>
      <w:r>
        <w:rPr>
          <w:sz w:val="22"/>
        </w:rPr>
        <w:t xml:space="preserve">A new Section 6(f) in the ISDA Form is inserted as follows: </w:t>
      </w:r>
    </w:p>
    <w:p>
      <w:pPr>
        <w:pStyle w:val="Normal"/>
        <w:ind w:hanging="709" w:start="709" w:end="0"/>
        <w:jc w:val="both"/>
        <w:rPr>
          <w:sz w:val="22"/>
        </w:rPr>
      </w:pPr>
      <w:r>
        <w:rPr>
          <w:sz w:val="22"/>
        </w:rPr>
      </w:r>
    </w:p>
    <w:p>
      <w:pPr>
        <w:pStyle w:val="Normal"/>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8"/>
        </w:numPr>
        <w:tabs>
          <w:tab w:val="left" w:pos="720" w:leader="none"/>
        </w:tabs>
        <w:spacing w:before="240" w:after="120"/>
        <w:ind w:hanging="360" w:start="720" w:end="0"/>
        <w:rPr>
          <w:rFonts w:ascii="Tms Rmn" w:hAnsi="Tms Rmn" w:cs="Tms Rmn"/>
        </w:rPr>
      </w:pPr>
      <w:r>
        <w:rPr>
          <w:rFonts w:cs="Tms Rmn" w:ascii="Tms Rmn" w:hAnsi="Tms Rmn"/>
        </w:rPr>
        <w:t>To effect a set-off the Payer may convert the Payer’s Amount or the Set-Off Amount into the currency in which the other is denominated (“</w:t>
      </w:r>
      <w:r>
        <w:rPr>
          <w:rFonts w:cs="Tms Rmn" w:ascii="Tms Rmn" w:hAnsi="Tms Rmn"/>
          <w:b/>
        </w:rPr>
        <w:t>Other Currency</w:t>
      </w:r>
      <w:r>
        <w:rPr>
          <w:rFonts w:cs="Tms Rmn" w:ascii="Tms Rmn" w:hAnsi="Tms Rm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360" w:start="0" w:end="0"/>
        <w:rPr>
          <w:rFonts w:ascii="Tms Rmn" w:hAnsi="Tms Rmn" w:cs="Tms Rmn"/>
        </w:rPr>
      </w:pPr>
      <w:r>
        <w:rPr>
          <w:rFonts w:cs="Tms Rmn" w:ascii="Tms Rmn" w:hAnsi="Tms Rmn"/>
        </w:rPr>
        <w:t>(iii)</w:t>
        <w:tab/>
        <w:t>The Payer must notify the Payee of any set-off effected under this Section 6(f).</w:t>
      </w:r>
    </w:p>
    <w:p>
      <w:pPr>
        <w:pStyle w:val="BodyTextIndent"/>
        <w:spacing w:before="0" w:after="0"/>
        <w:ind w:hanging="360" w:end="0"/>
        <w:rPr>
          <w:rFonts w:ascii="Tms Rmn" w:hAnsi="Tms Rmn" w:cs="Tms Rmn"/>
        </w:rPr>
      </w:pPr>
      <w:r>
        <w:rPr>
          <w:rFonts w:cs="Tms Rmn" w:ascii="Tms Rmn" w:hAnsi="Tms Rm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 w:hAnsi="Tms Rmn" w:cs="Tms Rmn"/>
          <w:b/>
          <w:sz w:val="22"/>
        </w:rPr>
      </w:pPr>
      <w:r>
        <w:rPr>
          <w:rFonts w:cs="Tms Rmn" w:ascii="Tms Rmn" w:hAnsi="Tms Rmn"/>
          <w:b/>
          <w:sz w:val="22"/>
        </w:rPr>
      </w:r>
    </w:p>
    <w:p>
      <w:pPr>
        <w:pStyle w:val="Normal"/>
        <w:numPr>
          <w:ilvl w:val="0"/>
          <w:numId w:val="10"/>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10"/>
        </w:numPr>
        <w:jc w:val="both"/>
        <w:outlineLvl w:val="0"/>
        <w:rPr>
          <w:sz w:val="22"/>
        </w:rPr>
      </w:pPr>
      <w:r>
        <w:rPr>
          <w:b/>
          <w:sz w:val="22"/>
          <w:u w:val="single"/>
        </w:rPr>
        <w:t>Taxes</w:t>
      </w:r>
      <w:r>
        <w:rPr>
          <w:sz w:val="22"/>
          <w:u w:val="single"/>
        </w:rPr>
        <w:t>.</w:t>
      </w:r>
    </w:p>
    <w:p>
      <w:pPr>
        <w:pStyle w:val="Normal"/>
        <w:jc w:val="both"/>
        <w:rPr>
          <w:sz w:val="22"/>
        </w:rPr>
      </w:pPr>
      <w:r>
        <w:rPr>
          <w:sz w:val="22"/>
        </w:rPr>
      </w:r>
    </w:p>
    <w:p>
      <w:pPr>
        <w:pStyle w:val="Heading3"/>
        <w:spacing w:before="0" w:after="0"/>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3"/>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3"/>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6"/>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6"/>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firstLine="720" w:end="0"/>
        <w:rPr/>
      </w:pPr>
      <w:r>
        <w:rPr/>
        <w:t>"Specified Jurisdiction" means Australia.</w:t>
      </w:r>
    </w:p>
    <w:p>
      <w:pPr>
        <w:pStyle w:val="Heading3"/>
        <w:spacing w:before="0" w:after="0"/>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spacing w:before="0" w:after="0"/>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en-US"/>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/mnt/main-storage/datasets/enron-docs/doc/Aus_CDD_GTC__Collat_.doc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b/>
      </w:rPr>
    </w:lvl>
  </w:abstractNum>
  <w:abstractNum w:abstractNumId="3">
    <w:lvl w:ilvl="0">
      <w:start w:val="6"/>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3"/>
      <w:numFmt w:val="decimal"/>
      <w:lvlText w:val="%1"/>
      <w:lvlJc w:val="start"/>
      <w:pPr>
        <w:tabs>
          <w:tab w:val="num" w:pos="420"/>
        </w:tabs>
        <w:ind w:start="420" w:hanging="360"/>
      </w:pPr>
      <w:rPr>
        <w:b/>
      </w:rPr>
    </w:lvl>
  </w:abstractNum>
  <w:abstractNum w:abstractNumId="8">
    <w:lvl w:ilvl="0">
      <w:start w:val="2"/>
      <w:numFmt w:val="lowerRoman"/>
      <w:lvlText w:val="(%1)"/>
      <w:lvlJc w:val="start"/>
      <w:pPr>
        <w:tabs>
          <w:tab w:val="num" w:pos="1080"/>
        </w:tabs>
        <w:ind w:start="1080" w:hanging="720"/>
      </w:pPr>
      <w:rPr/>
    </w:lvl>
  </w:abstractNum>
  <w:abstractNum w:abstractNumId="9">
    <w:lvl w:ilvl="0">
      <w:start w:val="7"/>
      <w:numFmt w:val="decimal"/>
      <w:lvlText w:val="%1"/>
      <w:lvlJc w:val="start"/>
      <w:pPr>
        <w:tabs>
          <w:tab w:val="num" w:pos="720"/>
        </w:tabs>
        <w:ind w:start="720" w:hanging="720"/>
      </w:pPr>
      <w:rPr>
        <w:u w:val="none"/>
      </w:rPr>
    </w:lvl>
  </w:abstractNum>
  <w:abstractNum w:abstractNumId="10">
    <w:lvl w:ilvl="0">
      <w:start w:val="8"/>
      <w:numFmt w:val="decimal"/>
      <w:lvlText w:val="%1"/>
      <w:lvlJc w:val="start"/>
      <w:pPr>
        <w:tabs>
          <w:tab w:val="num" w:pos="720"/>
        </w:tabs>
        <w:ind w:start="720" w:hanging="720"/>
      </w:pPr>
      <w:rPr>
        <w:i w:val="false"/>
        <w:u w:val="none"/>
        <w:b/>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u w:val="none"/>
    </w:rPr>
  </w:style>
  <w:style w:type="character" w:styleId="WW8Num15z0">
    <w:name w:val="WW8Num15z0"/>
    <w:qFormat/>
    <w:rPr>
      <w:u w:val="none"/>
    </w:rPr>
  </w:style>
  <w:style w:type="character" w:styleId="WW8Num16z0">
    <w:name w:val="WW8Num16z0"/>
    <w:qFormat/>
    <w:rPr>
      <w:b/>
      <w:i w:val="false"/>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2000-07-24T13:02:00Z</dcterms:created>
  <dc:creator>David Minns</dc:creator>
  <dc:description/>
  <dc:language>en-CA</dc:language>
  <cp:lastModifiedBy>dneuner</cp:lastModifiedBy>
  <cp:lastPrinted>2000-05-26T14:33:00Z</cp:lastPrinted>
  <dcterms:modified xsi:type="dcterms:W3CDTF">2000-07-24T13:06:00Z</dcterms:modified>
  <cp:revision>3</cp:revision>
  <dc:subject/>
  <dc:title>ENRON AUSTRALIA FINANCE PTY LTD  ACN 082 245 921 ("Enron")</dc:title>
</cp:coreProperties>
</file>