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t>Priorities for Enron Canada Government Affairs</w:t>
      </w:r>
    </w:p>
    <w:p>
      <w:pPr>
        <w:pStyle w:val="Normal"/>
        <w:jc w:val="center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August 1, 2001</w:t>
      </w:r>
    </w:p>
    <w:p>
      <w:pPr>
        <w:pStyle w:val="Normal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1.</w:t>
        <w:tab/>
        <w:t>Ontario Electricity Market Opening</w:t>
      </w:r>
    </w:p>
    <w:p>
      <w:pPr>
        <w:pStyle w:val="Normal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Government relations and public education</w:t>
        <w:tab/>
      </w:r>
    </w:p>
    <w:p>
      <w:pPr>
        <w:pStyle w:val="Normal"/>
        <w:ind w:start="720" w:end="0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U.S. $250,000.00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2.</w:t>
        <w:tab/>
        <w:t>Continued Ontario Gas Utility Understanding and Related Issues</w:t>
      </w:r>
    </w:p>
    <w:p>
      <w:pPr>
        <w:pStyle w:val="Normal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480" w:start="120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Participation in Ontario Energy Board proceedings</w:t>
        <w:tab/>
      </w:r>
    </w:p>
    <w:p>
      <w:pPr>
        <w:pStyle w:val="Normal"/>
        <w:ind w:start="720" w:end="0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U.S. $120,000.00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rPr/>
      </w:pPr>
      <w:r>
        <w:rPr/>
        <w:t>3.</w:t>
        <w:tab/>
        <w:t>Further Development and Refinement of Rules, Codes and Tariffs for Alberta Retail Electricity and Gas Markets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Participation in regulatory proceedings, expert advice</w:t>
        <w:tab/>
      </w:r>
    </w:p>
    <w:p>
      <w:pPr>
        <w:pStyle w:val="Normal"/>
        <w:ind w:start="720" w:end="0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U.S. $100,000.00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rPr/>
      </w:pPr>
      <w:r>
        <w:rPr/>
        <w:t>4.</w:t>
        <w:tab/>
        <w:t>Commercial Support for Power Purchase Agreement Position (i.e. treatment of unsold PPAs, revision to Power Pool Rules, transmission access, etc.)</w:t>
        <w:tab/>
      </w:r>
    </w:p>
    <w:p>
      <w:pPr>
        <w:pStyle w:val="Normal"/>
        <w:ind w:start="720" w:end="0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Participation in regulatory proceedings, expert advice</w:t>
      </w:r>
    </w:p>
    <w:p>
      <w:pPr>
        <w:pStyle w:val="Normal"/>
        <w:ind w:start="720" w:end="0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U.S. $100,000.00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5.</w:t>
        <w:tab/>
        <w:t>Alberta Transmission Rate Design and Cost Contribution Rules</w:t>
      </w:r>
    </w:p>
    <w:p>
      <w:pPr>
        <w:pStyle w:val="Normal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participation in regulatory proceedings, expert advice</w:t>
      </w:r>
    </w:p>
    <w:p>
      <w:pPr>
        <w:pStyle w:val="Normal"/>
        <w:ind w:start="720" w:end="0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U.S. $30,000.00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6.</w:t>
        <w:tab/>
        <w:t xml:space="preserve">Alberta Power Industry Structure Review and Revisions to Governing Statute/Regulations </w:t>
      </w:r>
    </w:p>
    <w:p>
      <w:pPr>
        <w:pStyle w:val="Normal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expert advice</w:t>
        <w:tab/>
      </w:r>
    </w:p>
    <w:p>
      <w:pPr>
        <w:pStyle w:val="Normal"/>
        <w:ind w:start="720" w:end="0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U.S. $75,000.00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rPr/>
      </w:pPr>
      <w:r>
        <w:rPr/>
        <w:t>7.</w:t>
        <w:tab/>
        <w:t>Establishment of Relationship with new British Columbia Government (Liberal Party) re Future of BC Hydro and Competition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government relations</w:t>
      </w:r>
    </w:p>
    <w:p>
      <w:pPr>
        <w:pStyle w:val="Normal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U.S. $40,000.00</w:t>
      </w:r>
    </w:p>
    <w:p>
      <w:pPr>
        <w:pStyle w:val="Normal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TOTAL:</w:t>
        <w:tab/>
        <w:t>U.S. $715,000.00</w:t>
      </w:r>
    </w:p>
    <w:p>
      <w:pPr>
        <w:pStyle w:val="Normal"/>
        <w:jc w:val="end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hanging="0" w:start="0"/>
        <w:rPr/>
      </w:pPr>
      <w:r>
        <w:rPr/>
        <w:t>Aleck Dadson</w:t>
      </w:r>
    </w:p>
    <w:p>
      <w:pPr>
        <w:pStyle w:val="Normal"/>
        <w:jc w:val="end"/>
        <w:rPr>
          <w:rFonts w:ascii="Arial" w:hAnsi="Arial" w:cs="Arial"/>
          <w:b/>
          <w:bCs/>
          <w:color w:val="0000FF"/>
          <w:sz w:val="18"/>
        </w:rPr>
      </w:pPr>
      <w:r>
        <w:rPr>
          <w:rFonts w:cs="Arial" w:ascii="Arial" w:hAnsi="Arial"/>
          <w:b/>
          <w:bCs/>
          <w:color w:val="0000FF"/>
          <w:sz w:val="18"/>
        </w:rPr>
        <w:t>Senior Director, Government Affairs</w:t>
      </w:r>
    </w:p>
    <w:p>
      <w:pPr>
        <w:pStyle w:val="Normal"/>
        <w:jc w:val="end"/>
        <w:rPr>
          <w:rFonts w:ascii="Arial" w:hAnsi="Arial" w:cs="Arial"/>
          <w:b/>
          <w:bCs/>
          <w:color w:val="0000FF"/>
          <w:sz w:val="18"/>
        </w:rPr>
      </w:pPr>
      <w:r>
        <w:rPr>
          <w:rFonts w:cs="Arial" w:ascii="Arial" w:hAnsi="Arial"/>
          <w:b/>
          <w:bCs/>
          <w:color w:val="0000FF"/>
          <w:sz w:val="18"/>
        </w:rPr>
        <w:t>Enron Canada Corp.</w:t>
      </w:r>
    </w:p>
    <w:p>
      <w:pPr>
        <w:pStyle w:val="Normal"/>
        <w:jc w:val="end"/>
        <w:rPr>
          <w:rFonts w:ascii="Arial" w:hAnsi="Arial" w:cs="Arial"/>
          <w:b/>
          <w:bCs/>
          <w:color w:val="0000FF"/>
          <w:sz w:val="18"/>
        </w:rPr>
      </w:pPr>
      <w:r>
        <w:rPr>
          <w:rFonts w:cs="Arial" w:ascii="Arial" w:hAnsi="Arial"/>
          <w:b/>
          <w:bCs/>
          <w:color w:val="0000FF"/>
          <w:sz w:val="18"/>
        </w:rPr>
        <w:t>1100 – 70 York Street</w:t>
      </w:r>
    </w:p>
    <w:p>
      <w:pPr>
        <w:pStyle w:val="Normal"/>
        <w:jc w:val="end"/>
        <w:rPr>
          <w:rFonts w:ascii="Arial" w:hAnsi="Arial" w:cs="Arial"/>
          <w:b/>
          <w:bCs/>
          <w:color w:val="0000FF"/>
          <w:sz w:val="18"/>
        </w:rPr>
      </w:pPr>
      <w:r>
        <w:rPr>
          <w:rFonts w:cs="Arial" w:ascii="Arial" w:hAnsi="Arial"/>
          <w:b/>
          <w:bCs/>
          <w:color w:val="0000FF"/>
          <w:sz w:val="18"/>
        </w:rPr>
        <w:t>Toronto, ON  M5J 1S9</w:t>
      </w:r>
    </w:p>
    <w:p>
      <w:pPr>
        <w:pStyle w:val="Normal"/>
        <w:jc w:val="end"/>
        <w:rPr>
          <w:rFonts w:ascii="Arial" w:hAnsi="Arial" w:cs="Arial"/>
          <w:b/>
          <w:bCs/>
          <w:color w:val="0000FF"/>
          <w:sz w:val="18"/>
        </w:rPr>
      </w:pPr>
      <w:r>
        <w:rPr>
          <w:rFonts w:cs="Arial" w:ascii="Arial" w:hAnsi="Arial"/>
          <w:b/>
          <w:bCs/>
          <w:color w:val="0000FF"/>
          <w:sz w:val="18"/>
        </w:rPr>
        <w:t>Tel:  416 865 3707</w:t>
      </w:r>
    </w:p>
    <w:p>
      <w:pPr>
        <w:pStyle w:val="Normal"/>
        <w:jc w:val="end"/>
        <w:rPr>
          <w:rFonts w:ascii="Arial" w:hAnsi="Arial" w:cs="Arial"/>
          <w:b/>
          <w:bCs/>
          <w:color w:val="0000FF"/>
          <w:sz w:val="18"/>
        </w:rPr>
      </w:pPr>
      <w:r>
        <w:rPr>
          <w:rFonts w:cs="Arial" w:ascii="Arial" w:hAnsi="Arial"/>
          <w:b/>
          <w:bCs/>
          <w:color w:val="0000FF"/>
          <w:sz w:val="18"/>
        </w:rPr>
        <w:t>Fax: 416 865 3766</w:t>
      </w:r>
    </w:p>
    <w:p>
      <w:pPr>
        <w:pStyle w:val="Normal"/>
        <w:jc w:val="end"/>
        <w:rPr>
          <w:rFonts w:ascii="Arial" w:hAnsi="Arial" w:cs="Arial"/>
          <w:b/>
          <w:bCs/>
          <w:color w:val="0000FF"/>
          <w:sz w:val="18"/>
        </w:rPr>
      </w:pPr>
      <w:r>
        <w:rPr>
          <w:rFonts w:cs="Arial" w:ascii="Arial" w:hAnsi="Arial"/>
          <w:b/>
          <w:bCs/>
          <w:color w:val="0000FF"/>
          <w:sz w:val="18"/>
        </w:rPr>
        <w:t>Email: Aleck.Dadson@enron.com</w:t>
      </w:r>
    </w:p>
    <w:sectPr>
      <w:type w:val="nextPage"/>
      <w:pgSz w:w="12240" w:h="15840"/>
      <w:pgMar w:left="1440" w:right="1440" w:gutter="0" w:header="0" w:top="1440" w:footer="0" w:bottom="108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Arial" w:hAnsi="Arial" w:cs="Arial"/>
      <w:b/>
      <w:bCs/>
      <w:color w:val="0000FF"/>
      <w:sz w:val="18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  <w:jc w:val="both"/>
    </w:pPr>
    <w:rPr>
      <w:rFonts w:ascii="Arial" w:hAnsi="Arial" w:cs="Arial"/>
      <w:b/>
      <w:bCs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2001-08-01T16:45:00Z</dcterms:created>
  <dc:creator>lassaf</dc:creator>
  <dc:description/>
  <dc:language>en-CA</dc:language>
  <cp:lastModifiedBy>adadson</cp:lastModifiedBy>
  <dcterms:modified xsi:type="dcterms:W3CDTF">2001-08-01T17:29:00Z</dcterms:modified>
  <cp:revision>10</cp:revision>
  <dc:subject/>
  <dc:title>Priorities for Enron Canada Government Affairs</dc:title>
</cp:coreProperties>
</file>