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California Independent System Operator</w:t>
      </w:r>
    </w:p>
    <w:p>
      <w:pPr>
        <w:pStyle w:val="Heading"/>
        <w:rPr>
          <w:rFonts w:eastAsia="Arial"/>
          <w:b/>
        </w:rPr>
      </w:pPr>
      <w:r>
        <w:rPr>
          <w:rFonts w:eastAsia="Arial"/>
          <w:b/>
        </w:rPr>
        <w:t xml:space="preserve"> </w:t>
      </w:r>
    </w:p>
    <w:p>
      <w:pPr>
        <w:pStyle w:val="Heading"/>
        <w:rPr>
          <w:b/>
        </w:rPr>
      </w:pPr>
      <w:r>
        <w:rPr>
          <w:b/>
        </w:rPr>
        <w:t xml:space="preserve">Responses to Stakeholder Comments on the Draft Proposal Issued July 24 on “Application of the FERC’s Must-Offer Obligation to Generating Resources Requiring Long Start-up Times”  </w:t>
      </w:r>
    </w:p>
    <w:p>
      <w:pPr>
        <w:pStyle w:val="Heading"/>
        <w:rPr>
          <w:b/>
          <w:sz w:val="22"/>
        </w:rPr>
      </w:pPr>
      <w:r>
        <w:rPr>
          <w:b/>
          <w:sz w:val="22"/>
        </w:rPr>
      </w:r>
    </w:p>
    <w:p>
      <w:pPr>
        <w:pStyle w:val="Heading"/>
        <w:jc w:val="start"/>
        <w:rPr>
          <w:sz w:val="22"/>
        </w:rPr>
      </w:pPr>
      <w:r>
        <w:rPr>
          <w:sz w:val="22"/>
        </w:rPr>
      </w:r>
    </w:p>
    <w:p>
      <w:pPr>
        <w:pStyle w:val="Heading"/>
        <w:jc w:val="start"/>
        <w:rPr>
          <w:sz w:val="22"/>
        </w:rPr>
      </w:pPr>
      <w:r>
        <w:rPr>
          <w:sz w:val="22"/>
        </w:rPr>
        <w:t xml:space="preserve">This document provides the ISO’s preliminary responses to the suggestions, questions and proposals contained in Market Participants’ written comments on the ISO’s Draft Proposal issued on July 24, 2001.  ISO staff will discuss these responses and additional questions raised by Market Participants in a conference call on Thursday, August 2, from 10:30 AM to 12:30 PM.  The call-in number for this meeting is (877) 381 6005; the Conference ID is 1491374; and the Conference Leader is Byron Woertz. </w:t>
      </w:r>
    </w:p>
    <w:p>
      <w:pPr>
        <w:pStyle w:val="Heading"/>
        <w:jc w:val="start"/>
        <w:rPr>
          <w:sz w:val="22"/>
        </w:rPr>
      </w:pPr>
      <w:r>
        <w:rPr>
          <w:sz w:val="22"/>
        </w:rPr>
      </w:r>
    </w:p>
    <w:p>
      <w:pPr>
        <w:pStyle w:val="Heading"/>
        <w:jc w:val="start"/>
        <w:rPr/>
      </w:pPr>
      <w:r>
        <w:rPr>
          <w:sz w:val="22"/>
        </w:rPr>
        <w:t xml:space="preserve">The ISO has limited the scope of this response and of the August 2 conference call to issues relating to </w:t>
      </w:r>
      <w:r>
        <w:rPr>
          <w:i/>
          <w:sz w:val="22"/>
        </w:rPr>
        <w:t>near-term</w:t>
      </w:r>
      <w:r>
        <w:rPr>
          <w:sz w:val="22"/>
        </w:rPr>
        <w:t xml:space="preserve"> accommodation of generating units with long start-up times, that will allow such generating units to elect to go off-line during periods when the ISO’s forecasts indicate the units are not needed to meet system load, without subjecting such generating units to ISO reports to FERC for non-compliance with the must-offer obligation.  The near-term procedure has been set forth in earlier written documents posted on the ISO Home Page and can be characterized as the ISO agreeing to forebear from reporting generating units for non-compliance with the must-offer obligation if the ISO has indicated to any such unit that system conditions permit the unit to go off-line and thereby become unavailable for Dispatch in real time.  (This near-term procedure has been styled as the ISO’s “temporary waiver from compliance with the must-offer obligation.”)  </w:t>
      </w:r>
    </w:p>
    <w:p>
      <w:pPr>
        <w:pStyle w:val="Heading"/>
        <w:jc w:val="start"/>
        <w:rPr>
          <w:sz w:val="22"/>
        </w:rPr>
      </w:pPr>
      <w:r>
        <w:rPr>
          <w:sz w:val="22"/>
        </w:rPr>
      </w:r>
    </w:p>
    <w:p>
      <w:pPr>
        <w:pStyle w:val="Heading"/>
        <w:jc w:val="start"/>
        <w:rPr>
          <w:sz w:val="22"/>
        </w:rPr>
      </w:pPr>
      <w:r>
        <w:rPr>
          <w:sz w:val="22"/>
        </w:rPr>
        <w:t xml:space="preserve">Given the limited scope of this exercise, the ISO does not respond here to arguments regarding the must-offer obligation itself or the ISO’s implementation of that obligation as specified in the ISO Compliance Filing on July 10, 2001.  The ISO recognizes that some parties disagree with some of the provisions of the FERC June 19 Order and/or with the ISO’s implementation of certain provisions of that order; however,  until FERC directs the ISO otherwise, the ISO must operate in accordance with its Compliance Filing.  </w:t>
      </w:r>
    </w:p>
    <w:p>
      <w:pPr>
        <w:pStyle w:val="Heading"/>
        <w:jc w:val="start"/>
        <w:rPr>
          <w:sz w:val="22"/>
        </w:rPr>
      </w:pPr>
      <w:r>
        <w:rPr>
          <w:sz w:val="22"/>
        </w:rPr>
      </w:r>
    </w:p>
    <w:p>
      <w:pPr>
        <w:pStyle w:val="Heading"/>
        <w:jc w:val="start"/>
        <w:rPr>
          <w:sz w:val="22"/>
        </w:rPr>
      </w:pPr>
      <w:r>
        <w:rPr>
          <w:sz w:val="22"/>
        </w:rPr>
        <w:t xml:space="preserve">Similarly, the ISO does not respond here to suggestions for longer-term changes, such as implementation of a day-ahead or forward unit commitment procedure, or changes to day-ahead Ancillary Services (“A/S”) purchasing practices to use the A/S market as a vehicle for forward commitment of LST units.  While such proposals merit further consideration, the ISO’s purpose in this exercise is to address any needs for near-term modification of the current procedures guiding the ISO’s implementation of the must-offer obligation. </w:t>
      </w:r>
    </w:p>
    <w:p>
      <w:pPr>
        <w:pStyle w:val="Heading"/>
        <w:jc w:val="start"/>
        <w:rPr>
          <w:sz w:val="22"/>
        </w:rPr>
      </w:pPr>
      <w:r>
        <w:rPr>
          <w:sz w:val="22"/>
        </w:rPr>
      </w:r>
    </w:p>
    <w:p>
      <w:pPr>
        <w:pStyle w:val="Heading"/>
        <w:jc w:val="start"/>
        <w:rPr>
          <w:sz w:val="22"/>
        </w:rPr>
      </w:pPr>
      <w:r>
        <w:rPr>
          <w:sz w:val="22"/>
        </w:rPr>
        <w:t xml:space="preserve">At the conclusion of these discussions with Market Participants, the ISO intends to file its procedures for implementation of the must-offer obligation with FERC. </w:t>
      </w:r>
    </w:p>
    <w:p>
      <w:pPr>
        <w:pStyle w:val="Heading"/>
        <w:jc w:val="start"/>
        <w:rPr>
          <w:sz w:val="22"/>
        </w:rPr>
      </w:pPr>
      <w:r>
        <w:rPr>
          <w:sz w:val="22"/>
        </w:rPr>
      </w:r>
    </w:p>
    <w:p>
      <w:pPr>
        <w:pStyle w:val="Heading"/>
        <w:rPr>
          <w:sz w:val="22"/>
        </w:rPr>
      </w:pPr>
      <w:r>
        <w:rPr>
          <w:sz w:val="22"/>
        </w:rPr>
      </w:r>
      <w:r>
        <w:br w:type="page"/>
      </w:r>
    </w:p>
    <w:p>
      <w:pPr>
        <w:pStyle w:val="Heading"/>
        <w:rPr>
          <w:b/>
        </w:rPr>
      </w:pPr>
      <w:r>
        <w:rPr>
          <w:b/>
        </w:rPr>
        <w:t>Issues and Proposals Raised in Comments, with ISO Responses</w:t>
      </w:r>
    </w:p>
    <w:p>
      <w:pPr>
        <w:pStyle w:val="Normal"/>
        <w:rPr>
          <w:rFonts w:ascii="Arial" w:hAnsi="Arial" w:cs="Arial"/>
          <w:b/>
          <w:sz w:val="22"/>
        </w:rPr>
      </w:pPr>
      <w:r>
        <w:rPr>
          <w:rFonts w:cs="Arial" w:ascii="Arial" w:hAnsi="Arial"/>
          <w:b/>
          <w:sz w:val="22"/>
        </w:rPr>
      </w:r>
    </w:p>
    <w:p>
      <w:pPr>
        <w:pStyle w:val="Normal"/>
        <w:numPr>
          <w:ilvl w:val="0"/>
          <w:numId w:val="1"/>
        </w:numPr>
        <w:rPr>
          <w:rFonts w:ascii="Arial" w:hAnsi="Arial" w:cs="Arial"/>
          <w:sz w:val="22"/>
        </w:rPr>
      </w:pPr>
      <w:r>
        <w:rPr>
          <w:rFonts w:cs="Arial" w:ascii="Arial" w:hAnsi="Arial"/>
          <w:sz w:val="22"/>
        </w:rPr>
        <w:t>What is the definition of long start-up time (“LST”) units?</w:t>
      </w:r>
    </w:p>
    <w:p>
      <w:pPr>
        <w:pStyle w:val="Normal"/>
        <w:rPr>
          <w:rFonts w:ascii="Arial" w:hAnsi="Arial" w:cs="Arial"/>
          <w:sz w:val="22"/>
        </w:rPr>
      </w:pPr>
      <w:r>
        <w:rPr>
          <w:rFonts w:cs="Arial" w:ascii="Arial" w:hAnsi="Arial"/>
          <w:sz w:val="22"/>
        </w:rPr>
      </w:r>
    </w:p>
    <w:p>
      <w:pPr>
        <w:pStyle w:val="Normal"/>
        <w:ind w:start="720" w:end="0"/>
        <w:rPr/>
      </w:pPr>
      <w:r>
        <w:rPr>
          <w:rFonts w:cs="Arial" w:ascii="Arial" w:hAnsi="Arial"/>
          <w:sz w:val="22"/>
        </w:rPr>
        <w:t xml:space="preserve">LST units in the ISO system have start-up times in the range of 6 hours or greater. The combustion turbines (“CTs”) are </w:t>
      </w:r>
      <w:r>
        <w:rPr>
          <w:rFonts w:cs="Arial" w:ascii="Arial" w:hAnsi="Arial"/>
          <w:i/>
          <w:sz w:val="22"/>
        </w:rPr>
        <w:t>not</w:t>
      </w:r>
      <w:r>
        <w:rPr>
          <w:rFonts w:cs="Arial" w:ascii="Arial" w:hAnsi="Arial"/>
          <w:sz w:val="22"/>
        </w:rPr>
        <w:t xml:space="preserve"> considered LST units. </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Why limit the waiver to LST units?</w:t>
      </w:r>
    </w:p>
    <w:p>
      <w:pPr>
        <w:pStyle w:val="Normal"/>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t xml:space="preserve">If a unit is able to start up quickly and provide energy in response to an ISO real  time Dispatch Instruction, then a temporary waiver is not necessary because the unit is able to shut down at will and still be available to comply with the must-offer obligation in real time. The temporary waiver explicitly is intended to provide a reasonable allowance for units that can not start-up immediately and are not needed to be on-line under all conditions, while complying with the FERC must-offer obligation.  </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 xml:space="preserve">Give exemption to small units (less than 10MW…or 100MW). </w:t>
      </w:r>
    </w:p>
    <w:p>
      <w:pPr>
        <w:pStyle w:val="Normal"/>
        <w:ind w:start="720" w:end="0"/>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t xml:space="preserve">The June 19 Order is clear that the must-offer obligation applies to all non-hydro resources.  It would not be consistent with the Order for the ISO to create exemptions for certain classes of generating units.  At present, however, there are difficulties in applying the must-offer obligation to units smaller than 10 MW due to the problem of determining their available capacity.  The ISO has raised this problem with FERC in the July 10 Compliance Filing, and is seeking to develop a workable solution. </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Criteria for temporary waiver should not include market power. The ISO should allow a seller voluntarily and unilaterally to remove a generating unit from service for the seller’s economic reasons.</w:t>
      </w:r>
    </w:p>
    <w:p>
      <w:pPr>
        <w:pStyle w:val="Normal"/>
        <w:ind w:start="720" w:end="0"/>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t>The intent of the must-offer obligation is to prevent the exercise of market power through the withholding of supply to drive up prices. In order for the ISO to grant a temporary waiver, the ISO must be confident that the unavailability of the unit will not create a market power opportunity.  The ISO is concerned that unilateral decisions by generating units to go off-line for “economic reasons” are not distinguishable from economic withholding to exercise market power, and therefore such unilateral discretion would be wholly at odds with the intent of the must-offer obligation.</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 xml:space="preserve">ISO ability to forecast beyond 48 hours very limited. Factors such as weather, demand, and load increase in uncertainty the further out the forecast. </w:t>
      </w:r>
    </w:p>
    <w:p>
      <w:pPr>
        <w:pStyle w:val="Normal"/>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t xml:space="preserve">The ISO appreciates that forecast accuracy decreases as the forecast horizon increases beyond 24 hours.  In consideration of the limits to forecast accuracy, the ISO has determined that any temporary waiver is subject to termination when system conditions require the unit to be on-line and available for real-time Dispatch.  Due to these potential errors in forecasts, the ISO can make no commitment as to the duration of a temporary waiver.  A generating unit acting upon a temporary waiver and voluntarily shutting down must be willing to assume the risk that the waiver may need to be terminated sooner than the generating unit’s operator might prefer. </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How does the ISO define “pivotal single supplier”?</w:t>
      </w:r>
    </w:p>
    <w:p>
      <w:pPr>
        <w:pStyle w:val="Normal"/>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t xml:space="preserve">If the capacity operated by the single largest supplier is necessary to meet demand, then that supplier is pivotal. In other words, if the capacity of the single largest supplier is subtracted from the total available supply, the remaining supply must be equal to or greater than the expected demand.  </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Why doesn’t RMR Dispatch resolve the pivotal single supplier issue?</w:t>
      </w:r>
    </w:p>
    <w:p>
      <w:pPr>
        <w:pStyle w:val="Normal"/>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t>RMR is available to meet local reliability needs, but RMR contracts do not allow the ISO to dispatch these units to meet system imbalance energy needs.</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What should the ISO do about non-public units without PGAs…the ISO does not have their start-up times.</w:t>
      </w:r>
    </w:p>
    <w:p>
      <w:pPr>
        <w:pStyle w:val="Normal"/>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t xml:space="preserve">The ISO believes this is a moot question.  At times when loads are expected to be high and these units would be required, their operators would need to have them operating to meet their own native loads as well, hence an ISO termination of temporary waiver would not be necessary.  As the FERC Order indicated, any capacity of such units beyond what is needed to meet native load would be subject to the must-offer obligation.  </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The Draft Proposal is unclear on whether the ISO’s supply margin criterion for granting temporary waivers is 15% or 25%, because both are mentioned.</w:t>
        <w:br/>
        <w:t xml:space="preserve"> </w:t>
      </w:r>
    </w:p>
    <w:p>
      <w:pPr>
        <w:pStyle w:val="Normal"/>
        <w:ind w:start="720" w:end="0"/>
        <w:rPr>
          <w:rFonts w:ascii="Arial" w:hAnsi="Arial" w:cs="Arial"/>
          <w:sz w:val="22"/>
        </w:rPr>
      </w:pPr>
      <w:r>
        <w:rPr>
          <w:rFonts w:cs="Arial" w:ascii="Arial" w:hAnsi="Arial"/>
          <w:sz w:val="22"/>
        </w:rPr>
        <w:t>The supply margin threshold is set at 25% above forecast peak load.  Based on reliability criteria only the threshold equals 15%, to allow for required reserves, single largest contingency, and forecast errors. With the incorporation of market power considerations the threshold becomes 25%, based on studies by the ISO’s Department of Market Analysis.  (See the “Report on California Energy Market Issues and Performance, May-June 2000,” page 50, released on August 10, 2000 and available on the ISO’s web site under Market Analysis Reports.)</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Spinning Reserve Capacity should be included in the target supply margin that would be used in certain ISO options.</w:t>
      </w:r>
    </w:p>
    <w:p>
      <w:pPr>
        <w:pStyle w:val="Normal"/>
        <w:ind w:start="720" w:end="0"/>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t xml:space="preserve">It is included. The calculation of the 25% supply margin includes required operating reserve margins, as well as the market power criteria described in the Draft Proposal. </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Clarify that QFs that commit all capacity to a UDC are not subject to must-offer obligation.</w:t>
      </w:r>
    </w:p>
    <w:p>
      <w:pPr>
        <w:pStyle w:val="Normal"/>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t xml:space="preserve">This statement is correct. QFs that have committed all capacity to a UDC under the QF contract do not have any additional capacity that would be subject to the must-offer obligation.  However, if a QF has additional capacity that is not committed to the UDC and could be sold into the ISO’s markets, that capacity is subject to the must-offer obligation.  </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As the temporary waiver must identify a specific unit, can it apply to a municipal utility for which the ISO only “sees” an aggregate unit? If yes, how would the temporary waiver be implemented? Alternatively, if it the temporary waiver excludes such cases please advise as to the reasoning.</w:t>
      </w:r>
    </w:p>
    <w:p>
      <w:pPr>
        <w:pStyle w:val="Normal"/>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t xml:space="preserve">The FERC Order is clear that the must-offer obligation applies to all municipal generation. In principle there is no reason why a LST unit operated by a municipal utility should be treated any differently from a LST unit on a PGA. At present, however, it is not clear how to implement the temporary waiver provision for units that are not seen by the ISO as individual units. The ISO invites parties to comment and offer suggestions on this issue.  </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If ISO does not pre-schedule must-offer generation on a day-ahead basis, waivers should be granted first to units with the shortest start-up times.</w:t>
      </w:r>
    </w:p>
    <w:p>
      <w:pPr>
        <w:pStyle w:val="Normal"/>
        <w:ind w:start="720" w:end="0"/>
        <w:rPr>
          <w:rFonts w:ascii="Arial" w:hAnsi="Arial" w:cs="Arial"/>
          <w:sz w:val="22"/>
        </w:rPr>
      </w:pPr>
      <w:r>
        <w:rPr>
          <w:rFonts w:cs="Arial" w:ascii="Arial" w:hAnsi="Arial"/>
          <w:sz w:val="22"/>
        </w:rPr>
        <w:br/>
        <w:t xml:space="preserve">As noted in the response to an earlier question, the temporary waiver is specifically needed by long start-up time (LST) units, not quick-start units.  Whenever the ISO needs to terminate temporary waivers it previously granted, we will make every effort to provide as much advance notice as possible (i.e., not just the minimum notice needed to accommodate the unit’s start-up time). </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 xml:space="preserve">The ISO should pay for minimum load costs if it requires a unit to be on-line. </w:t>
      </w:r>
    </w:p>
    <w:p>
      <w:pPr>
        <w:pStyle w:val="Normal"/>
        <w:ind w:start="720" w:end="0"/>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t>No.  The must-offer obligation requires all subject resources to be available to supply energy in real time if needed. Thus it is the FERC June 19 Order, not the ISO, that is requiring resources to be on-line. The ISO is attempting, through the proposed temporary waiver, to grant relief to units that are not needed on-line in all hours but would be non-compliant with the FERC June 19 Order if they shut down unilaterally and were not available if needed in real time due to their long start-up times. Units that are granted temporary waivers receive the benefit of being able to avoid minimum load costs for the hours they are shut down, without risking being deemed non-compliant with the June 19 Order as long as their waiver is in effect. In addition, the FERC June 19 Order specifically states that the ISO is not responsible for minimum load costs.</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 xml:space="preserve">The temporary waiver procedure is a significant aspect of the ISO’s implementation of the FERC Order and therefore should be filed with FERC. </w:t>
      </w:r>
    </w:p>
    <w:p>
      <w:pPr>
        <w:pStyle w:val="Normal"/>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t xml:space="preserve">The ISO intends to file this procedure at FERC once it is finalized.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California Independent System Operator</w:t>
      <w:tab/>
      <w:tab/>
      <w:t xml:space="preserve">August 1, 2001, 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Narrow" w:hAnsi="Arial Narrow" w:eastAsia="Times New Roman" w:cs="Arial Narrow"/>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2001-08-01T21:10:00Z</dcterms:created>
  <dc:creator>MRostker</dc:creator>
  <dc:description/>
  <dc:language>en-CA</dc:language>
  <cp:lastModifiedBy>Lorenzo Kristov</cp:lastModifiedBy>
  <cp:lastPrinted>2001-08-01T13:59:00Z</cp:lastPrinted>
  <dcterms:modified xsi:type="dcterms:W3CDTF">2001-08-01T21:48:00Z</dcterms:modified>
  <cp:revision>10</cp:revision>
  <dc:subject/>
  <dc:title>Must-Offer Obligation Issues</dc:title>
</cp:coreProperties>
</file>