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drawing>
          <wp:inline distT="0" distB="0" distL="0" distR="0">
            <wp:extent cx="1015365" cy="100901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15365" cy="1009015"/>
                    </a:xfrm>
                    <a:prstGeom prst="rect">
                      <a:avLst/>
                    </a:prstGeom>
                    <a:noFill/>
                  </pic:spPr>
                </pic:pic>
              </a:graphicData>
            </a:graphic>
          </wp:inline>
        </w:drawing>
      </w:r>
    </w:p>
    <w:p>
      <w:pPr>
        <w:pStyle w:val="Normal"/>
        <w:rPr/>
      </w:pPr>
      <w:r>
        <w:rPr/>
      </w:r>
    </w:p>
    <w:tbl>
      <w:tblPr>
        <w:tblW w:w="10708" w:type="dxa"/>
        <w:jc w:val="start"/>
        <w:tblInd w:w="200" w:type="dxa"/>
        <w:tblLayout w:type="fixed"/>
        <w:tblCellMar>
          <w:top w:w="0" w:type="dxa"/>
          <w:start w:w="108" w:type="dxa"/>
          <w:bottom w:w="0" w:type="dxa"/>
          <w:end w:w="108" w:type="dxa"/>
        </w:tblCellMar>
      </w:tblPr>
      <w:tblGrid>
        <w:gridCol w:w="708"/>
        <w:gridCol w:w="6045"/>
        <w:gridCol w:w="990"/>
        <w:gridCol w:w="2965"/>
      </w:tblGrid>
      <w:tr>
        <w:trPr>
          <w:trHeight w:val="300" w:hRule="exact"/>
        </w:trPr>
        <w:tc>
          <w:tcPr>
            <w:tcW w:w="708" w:type="dxa"/>
            <w:tcBorders/>
          </w:tcPr>
          <w:p>
            <w:pPr>
              <w:pStyle w:val="Normal"/>
              <w:ind w:start="-180" w:end="0"/>
              <w:jc w:val="end"/>
              <w:rPr>
                <w:sz w:val="16"/>
              </w:rPr>
            </w:pPr>
            <w:r>
              <w:rPr>
                <w:sz w:val="16"/>
              </w:rPr>
              <w:t>To:</w:t>
            </w:r>
          </w:p>
        </w:tc>
        <w:tc>
          <w:tcPr>
            <w:tcW w:w="6045" w:type="dxa"/>
            <w:tcBorders/>
          </w:tcPr>
          <w:p>
            <w:pPr>
              <w:pStyle w:val="To"/>
              <w:rPr/>
            </w:pPr>
            <w:r>
              <w:rPr/>
              <w:t>Recipients</w:t>
            </w:r>
          </w:p>
        </w:tc>
        <w:tc>
          <w:tcPr>
            <w:tcW w:w="990" w:type="dxa"/>
            <w:tcBorders/>
          </w:tcPr>
          <w:p>
            <w:pPr>
              <w:pStyle w:val="Normal"/>
              <w:snapToGrid w:val="false"/>
              <w:ind w:start="-180" w:end="0"/>
              <w:rPr/>
            </w:pPr>
            <w:r>
              <w:rPr/>
            </w:r>
          </w:p>
        </w:tc>
        <w:tc>
          <w:tcPr>
            <w:tcW w:w="2965" w:type="dxa"/>
            <w:tcBorders/>
          </w:tcPr>
          <w:p>
            <w:pPr>
              <w:pStyle w:val="Normal"/>
              <w:snapToGrid w:val="false"/>
              <w:rPr/>
            </w:pPr>
            <w:r>
              <w:rPr/>
            </w:r>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300" w:hRule="exact"/>
        </w:trPr>
        <w:tc>
          <w:tcPr>
            <w:tcW w:w="708" w:type="dxa"/>
            <w:tcBorders/>
          </w:tcPr>
          <w:p>
            <w:pPr>
              <w:pStyle w:val="Normal"/>
              <w:ind w:start="-180" w:end="0"/>
              <w:jc w:val="end"/>
              <w:rPr>
                <w:sz w:val="16"/>
              </w:rPr>
            </w:pPr>
            <w:r>
              <w:rPr>
                <w:sz w:val="16"/>
              </w:rPr>
              <w:t>From:</w:t>
            </w:r>
          </w:p>
        </w:tc>
        <w:tc>
          <w:tcPr>
            <w:tcW w:w="6045" w:type="dxa"/>
            <w:tcBorders/>
          </w:tcPr>
          <w:p>
            <w:pPr>
              <w:pStyle w:val="From"/>
              <w:rPr/>
            </w:pPr>
            <w:r>
              <w:rPr/>
              <w:t>Vasant Shanbhogue</w:t>
            </w:r>
          </w:p>
        </w:tc>
        <w:tc>
          <w:tcPr>
            <w:tcW w:w="990" w:type="dxa"/>
            <w:tcBorders/>
          </w:tcPr>
          <w:p>
            <w:pPr>
              <w:pStyle w:val="Normal"/>
              <w:ind w:start="-180" w:end="0"/>
              <w:jc w:val="end"/>
              <w:rPr>
                <w:sz w:val="16"/>
              </w:rPr>
            </w:pPr>
            <w:r>
              <w:rPr>
                <w:sz w:val="16"/>
              </w:rPr>
              <w:t>Department:</w:t>
            </w:r>
          </w:p>
        </w:tc>
        <w:tc>
          <w:tcPr>
            <w:tcW w:w="2965" w:type="dxa"/>
            <w:tcBorders/>
          </w:tcPr>
          <w:p>
            <w:pPr>
              <w:pStyle w:val="Department"/>
              <w:rPr/>
            </w:pPr>
            <w:bookmarkStart w:id="0" w:name="From"/>
            <w:bookmarkEnd w:id="0"/>
            <w:r>
              <w:rPr/>
              <w:t>Research</w:t>
            </w:r>
            <w:bookmarkStart w:id="1" w:name="tDepartment"/>
            <w:bookmarkEnd w:id="1"/>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600" w:hRule="exact"/>
        </w:trPr>
        <w:tc>
          <w:tcPr>
            <w:tcW w:w="708" w:type="dxa"/>
            <w:tcBorders>
              <w:bottom w:val="single" w:sz="12" w:space="0" w:color="000000"/>
            </w:tcBorders>
          </w:tcPr>
          <w:p>
            <w:pPr>
              <w:pStyle w:val="Normal"/>
              <w:ind w:start="-180" w:end="0"/>
              <w:jc w:val="end"/>
              <w:rPr>
                <w:sz w:val="16"/>
              </w:rPr>
            </w:pPr>
            <w:r>
              <w:rPr>
                <w:sz w:val="16"/>
              </w:rPr>
              <w:t>Subject:</w:t>
            </w:r>
          </w:p>
        </w:tc>
        <w:tc>
          <w:tcPr>
            <w:tcW w:w="6045" w:type="dxa"/>
            <w:tcBorders>
              <w:bottom w:val="single" w:sz="12" w:space="0" w:color="000000"/>
            </w:tcBorders>
          </w:tcPr>
          <w:p>
            <w:pPr>
              <w:pStyle w:val="Subject"/>
              <w:rPr/>
            </w:pPr>
            <w:r>
              <w:rPr/>
              <w:t>AA Audit and Research Plan</w:t>
            </w:r>
          </w:p>
        </w:tc>
        <w:tc>
          <w:tcPr>
            <w:tcW w:w="990" w:type="dxa"/>
            <w:tcBorders>
              <w:bottom w:val="single" w:sz="12" w:space="0" w:color="000000"/>
            </w:tcBorders>
          </w:tcPr>
          <w:p>
            <w:pPr>
              <w:pStyle w:val="Normal"/>
              <w:ind w:start="-180" w:end="0"/>
              <w:jc w:val="end"/>
              <w:rPr>
                <w:sz w:val="16"/>
              </w:rPr>
            </w:pPr>
            <w:r>
              <w:rPr>
                <w:sz w:val="16"/>
              </w:rPr>
              <w:t>Date:</w:t>
            </w:r>
          </w:p>
        </w:tc>
        <w:tc>
          <w:tcPr>
            <w:tcW w:w="2965" w:type="dxa"/>
            <w:tcBorders>
              <w:bottom w:val="single" w:sz="12" w:space="0" w:color="000000"/>
            </w:tcBorders>
          </w:tcPr>
          <w:p>
            <w:pPr>
              <w:pStyle w:val="Date"/>
              <w:rPr/>
            </w:pPr>
            <w:r>
              <w:rPr/>
              <w:fldChar w:fldCharType="begin"/>
            </w:r>
            <w:r>
              <w:rPr/>
              <w:instrText xml:space="preserve"> DATE \@"MMMM\ d', 'yyyy" </w:instrText>
            </w:r>
            <w:r>
              <w:rPr/>
              <w:fldChar w:fldCharType="separate"/>
            </w:r>
            <w:r>
              <w:rPr/>
              <w:t>September 28, 2025</w:t>
            </w:r>
            <w:r>
              <w:rPr/>
              <w:fldChar w:fldCharType="end"/>
            </w:r>
          </w:p>
        </w:tc>
      </w:tr>
    </w:tbl>
    <w:p>
      <w:pPr>
        <w:pStyle w:val="Body"/>
        <w:rPr/>
      </w:pPr>
      <w:r>
        <w:rPr/>
      </w:r>
      <w:bookmarkStart w:id="2" w:name="StartOfMemo"/>
      <w:bookmarkStart w:id="3" w:name="StartOfMemo"/>
      <w:bookmarkEnd w:id="3"/>
    </w:p>
    <w:p>
      <w:pPr>
        <w:pStyle w:val="Body"/>
        <w:rPr/>
      </w:pPr>
      <w:r>
        <w:rPr/>
      </w:r>
    </w:p>
    <w:p>
      <w:pPr>
        <w:pStyle w:val="Body"/>
        <w:rPr/>
      </w:pPr>
      <w:r>
        <w:rPr/>
        <w:t xml:space="preserve">As a result of the AA Audit on the Enron VAR process, and subsequent recommendations by AA,  I respond to the issues below and outline the plan of action for Enron Research Group. </w:t>
      </w:r>
    </w:p>
    <w:p>
      <w:pPr>
        <w:pStyle w:val="Body"/>
        <w:rPr/>
      </w:pPr>
      <w:r>
        <w:rPr/>
      </w:r>
    </w:p>
    <w:p>
      <w:pPr>
        <w:pStyle w:val="Body"/>
        <w:rPr>
          <w:b/>
          <w:u w:val="single"/>
        </w:rPr>
      </w:pPr>
      <w:r>
        <w:rPr>
          <w:b/>
          <w:u w:val="single"/>
        </w:rPr>
        <w:t xml:space="preserve">Comments to the Commodity VAR Audit </w:t>
      </w:r>
    </w:p>
    <w:p>
      <w:pPr>
        <w:pStyle w:val="Body"/>
        <w:ind w:start="0" w:end="0"/>
        <w:rPr>
          <w:b/>
          <w:u w:val="single"/>
        </w:rPr>
      </w:pPr>
      <w:r>
        <w:rPr>
          <w:b/>
          <w:u w:val="single"/>
        </w:rPr>
      </w:r>
    </w:p>
    <w:p>
      <w:pPr>
        <w:pStyle w:val="Body"/>
        <w:numPr>
          <w:ilvl w:val="0"/>
          <w:numId w:val="2"/>
        </w:numPr>
        <w:rPr/>
      </w:pPr>
      <w:r>
        <w:rPr/>
        <w:t>Secondary commodities need to be monitored, and the mappings to primary commodities need to be periodically reviewed.   This should be monitored by the Risk Control desk managers.  The Research Group will periodically check with the desk managers as to the reasonableness of these mappings.</w:t>
      </w:r>
    </w:p>
    <w:p>
      <w:pPr>
        <w:pStyle w:val="Body"/>
        <w:numPr>
          <w:ilvl w:val="0"/>
          <w:numId w:val="2"/>
        </w:numPr>
        <w:rPr/>
      </w:pPr>
      <w:r>
        <w:rPr/>
        <w:t>The Research Group will investigate into volatility process models, with a view towards incorporating Vega sensitivity into the VAR calculation.  Since calibration of such models is typically not easy, we anticipate that this analysis will take some time.</w:t>
      </w:r>
    </w:p>
    <w:p>
      <w:pPr>
        <w:pStyle w:val="Body"/>
        <w:numPr>
          <w:ilvl w:val="0"/>
          <w:numId w:val="3"/>
        </w:numPr>
        <w:rPr/>
      </w:pPr>
      <w:r>
        <w:rPr/>
        <w:t xml:space="preserve">Regarding the concern that factor loadings for gas are used for commodities such as paper and coal, this is simply an expeditious way of getting Value-at-risk numbers for these commodities.  The calculation of factor loadings for these curves did not lead to good results, and gas factor loadings are being used as a proxy.  It must be emphasized that the </w:t>
      </w:r>
      <w:r>
        <w:rPr>
          <w:i/>
        </w:rPr>
        <w:t xml:space="preserve">correct volatility curve for each commodity is being used to scale the factor loadings.  </w:t>
      </w:r>
      <w:r>
        <w:rPr/>
        <w:t>We will switch to the use of a one-factor model for paper and coal to avoid further debate on which factor loadings are being used.  It must be realized however that this will understate the risk of calendar spread positions.  In AA’s last response, they indicate that propane and butane use gas factor loadings – this is not the case, both commodities use crude oil factor loadings.</w:t>
      </w:r>
    </w:p>
    <w:p>
      <w:pPr>
        <w:pStyle w:val="Body"/>
        <w:numPr>
          <w:ilvl w:val="0"/>
          <w:numId w:val="3"/>
        </w:numPr>
        <w:jc w:val="both"/>
        <w:rPr>
          <w:b/>
          <w:i/>
          <w:i/>
        </w:rPr>
      </w:pPr>
      <w:r>
        <w:rPr/>
        <w:t>We will update the documentation with more details of the markets, inputs, outputs, and tables.  It should be noted that detailed documentation of the database inter-relationships and maintenance of a comprehensive listing of all the different commodities is outside the scope of Research.</w:t>
      </w:r>
    </w:p>
    <w:p>
      <w:pPr>
        <w:pStyle w:val="Body"/>
        <w:numPr>
          <w:ilvl w:val="0"/>
          <w:numId w:val="3"/>
        </w:numPr>
        <w:rPr>
          <w:b/>
        </w:rPr>
      </w:pPr>
      <w:r>
        <w:rPr/>
        <w:t xml:space="preserve">For power factor loadings, we will continue to use small number of months for factor loadings, since longer maturity prices do not seem to exhibit reasonable price behavior.  This does not invalidate the methodology, but only suggests that a parallel shift approach is being taken for longer dated prices.  This will understate the risk for calendar spreads, and one should be aware of this.  Monitoring via backtesting is an appropriate way to track this issue, and this is the approach we have taken.  </w:t>
      </w:r>
    </w:p>
    <w:p>
      <w:pPr>
        <w:pStyle w:val="Body"/>
        <w:numPr>
          <w:ilvl w:val="0"/>
          <w:numId w:val="3"/>
        </w:numPr>
        <w:rPr>
          <w:b/>
        </w:rPr>
      </w:pPr>
      <w:r>
        <w:rPr/>
        <w:t xml:space="preserve">To investigate cross effects between volatility seasonality and factor loadings, we will deliver price data for Nymex Natural Gas Futures to AA.  AA has agreed to look at the data, and suggest possible ways to capture the seasonality (if any).  We continue to believe that, since we take price returns in calculating the factor loadings, and do not use the much more seasonal price series, the existence of volatility seasonality (if any) would be minor. </w:t>
      </w:r>
    </w:p>
    <w:p>
      <w:pPr>
        <w:pStyle w:val="Body"/>
        <w:numPr>
          <w:ilvl w:val="0"/>
          <w:numId w:val="3"/>
        </w:numPr>
        <w:rPr/>
      </w:pPr>
      <w:r>
        <w:rPr/>
        <w:t>Enron IT and Research will review the code with a view towards removing all hardcodings (if any).</w:t>
      </w:r>
    </w:p>
    <w:p>
      <w:pPr>
        <w:pStyle w:val="Body"/>
        <w:numPr>
          <w:ilvl w:val="0"/>
          <w:numId w:val="3"/>
        </w:numPr>
        <w:rPr/>
      </w:pPr>
      <w:r>
        <w:rPr/>
        <w:t>AA recommends that jump diffusion be used for gas as well.  It should be noted that natural gas exhibits much milder levels of jumps, if any, than power.  Further, jumps in gas prices tend to be highly seasonal, and the procedure of using last thirty days to estimate jump parameters will lead to a lot more noise in the process.  Using previous year’s data is one possibility, but this will also add noise because this year may not be like last year.  We will implement a jump diffusion process for gas as well.</w:t>
      </w:r>
    </w:p>
    <w:p>
      <w:pPr>
        <w:pStyle w:val="Body"/>
        <w:ind w:start="0" w:end="0"/>
        <w:rPr/>
      </w:pPr>
      <w:r>
        <w:rPr/>
      </w:r>
    </w:p>
    <w:p>
      <w:pPr>
        <w:pStyle w:val="Body"/>
        <w:ind w:start="0" w:end="0"/>
        <w:rPr/>
      </w:pPr>
      <w:r>
        <w:rPr/>
      </w:r>
    </w:p>
    <w:p>
      <w:pPr>
        <w:pStyle w:val="Body"/>
        <w:ind w:start="0" w:end="0"/>
        <w:rPr>
          <w:b/>
          <w:u w:val="single"/>
        </w:rPr>
      </w:pPr>
      <w:r>
        <w:rPr>
          <w:b/>
          <w:u w:val="single"/>
        </w:rPr>
        <w:t xml:space="preserve">Comments to the Equity VAR Audit </w:t>
      </w:r>
    </w:p>
    <w:p>
      <w:pPr>
        <w:pStyle w:val="Body"/>
        <w:numPr>
          <w:ilvl w:val="0"/>
          <w:numId w:val="4"/>
        </w:numPr>
        <w:rPr/>
      </w:pPr>
      <w:r>
        <w:rPr/>
        <w:t>FX risk should get picked up for equities when every non-US dollar price is converted into US dollars before calculating volatility and correlation.  This is the correct methodology</w:t>
      </w:r>
    </w:p>
    <w:p>
      <w:pPr>
        <w:pStyle w:val="Body"/>
        <w:numPr>
          <w:ilvl w:val="0"/>
          <w:numId w:val="4"/>
        </w:numPr>
        <w:rPr/>
      </w:pPr>
      <w:r>
        <w:rPr/>
        <w:t>The correlation and volatility calculations now explicitly adjust for missing data.  In case of very little data, the trading group should post equivalent equity baskets for use in correlation and volatility calculation.</w:t>
      </w:r>
    </w:p>
    <w:p>
      <w:pPr>
        <w:pStyle w:val="Body"/>
        <w:numPr>
          <w:ilvl w:val="0"/>
          <w:numId w:val="4"/>
        </w:numPr>
        <w:rPr/>
      </w:pPr>
      <w:r>
        <w:rPr/>
        <w:t xml:space="preserve">Exponential weighting in calculating volatilities and correlations is the official standard, and the models to do this are in place. </w:t>
      </w:r>
    </w:p>
    <w:sectPr>
      <w:headerReference w:type="default" r:id="rId3"/>
      <w:headerReference w:type="first" r:id="rId4"/>
      <w:footerReference w:type="default" r:id="rId5"/>
      <w:footerReference w:type="first" r:id="rId6"/>
      <w:type w:val="nextPage"/>
      <w:pgSz w:w="12240" w:h="15840"/>
      <w:pgMar w:left="720" w:right="720" w:gutter="0" w:header="720" w:top="776" w:footer="360" w:bottom="41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3780" w:leader="none"/>
        <w:tab w:val="center" w:pos="7560" w:leader="none"/>
        <w:tab w:val="right" w:pos="8640" w:leader="none"/>
      </w:tabs>
      <w:jc w:val="center"/>
      <w:rPr>
        <w:b/>
        <w:sz w:val="16"/>
      </w:rPr>
    </w:pPr>
    <w:r>
      <w:rPr>
        <w:b/>
        <w:sz w:val="16"/>
      </w:rPr>
      <w:t>Your Personal Best Makes Enron Best</w:t>
      <w:tab/>
      <w:t>Communicate- Facts Are Friendly</w:t>
      <w:tab/>
      <w:tab/>
      <w:t>Better, Faster, Simpler</w:t>
    </w:r>
  </w:p>
  <w:p>
    <w:pPr>
      <w:pStyle w:val="Footer"/>
      <w:tabs>
        <w:tab w:val="clear" w:pos="4320"/>
        <w:tab w:val="left" w:pos="3780" w:leader="none"/>
        <w:tab w:val="center" w:pos="7560" w:leader="none"/>
        <w:tab w:val="right" w:pos="8640" w:leader="none"/>
      </w:tabs>
      <w:rPr>
        <w:sz w:val="12"/>
      </w:rPr>
    </w:pPr>
    <w:r>
      <w:rPr>
        <w:sz w:val="12"/>
      </w:rPr>
      <w:t>Form 000-469-1 (5/92)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left" w:pos="3780" w:leader="none"/>
        <w:tab w:val="left" w:pos="4770" w:leader="none"/>
        <w:tab w:val="left" w:pos="7650" w:leader="none"/>
        <w:tab w:val="right" w:pos="10800" w:leader="none"/>
      </w:tabs>
      <w:rPr>
        <w:sz w:val="16"/>
      </w:rPr>
    </w:pPr>
    <w:r>
      <w:rPr>
        <w:b/>
        <w:sz w:val="16"/>
      </w:rPr>
      <w:t>Respect</w:t>
      <w:tab/>
      <w:t>Integrity</w:t>
      <w:tab/>
      <w:tab/>
      <w:t>Communication</w:t>
      <w:tab/>
      <w:t>Excellence</w:t>
    </w:r>
  </w:p>
  <w:p>
    <w:pPr>
      <w:pStyle w:val="Footer"/>
      <w:tabs>
        <w:tab w:val="clear" w:pos="4320"/>
        <w:tab w:val="left" w:pos="3780" w:leader="none"/>
        <w:tab w:val="center" w:pos="7560" w:leader="none"/>
        <w:tab w:val="right" w:pos="8640" w:leader="none"/>
        <w:tab w:val="right" w:pos="10800" w:leader="none"/>
      </w:tabs>
      <w:rPr>
        <w:sz w:val="12"/>
      </w:rPr>
    </w:pPr>
    <w:r>
      <w:rPr>
        <w:sz w:val="12"/>
      </w:rPr>
      <w:t>Form 000-469-E(7/92)</w:t>
    </w:r>
  </w:p>
  <w:p>
    <w:pPr>
      <w:pStyle w:val="Footer"/>
      <w:tabs>
        <w:tab w:val="clear" w:pos="4320"/>
        <w:tab w:val="left" w:pos="3780" w:leader="none"/>
        <w:tab w:val="center" w:pos="7560" w:leader="none"/>
        <w:tab w:val="right" w:pos="8640" w:leader="none"/>
        <w:tab w:val="right" w:pos="10800" w:leader="none"/>
      </w:tabs>
      <w:rPr>
        <w:sz w:val="8"/>
      </w:rPr>
    </w:pPr>
    <w:r>
      <w:rPr>
        <w:sz w:val="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r>
    <w:r>
      <w:rPr/>
      <w:fldChar w:fldCharType="begin"/>
    </w:r>
    <w:r>
      <w:rPr/>
      <w:instrText xml:space="preserve"> DATE \@"M/d/yyyy" </w:instrText>
    </w:r>
    <w:r>
      <w:rPr/>
      <w:fldChar w:fldCharType="separate"/>
    </w:r>
    <w:r>
      <w:rPr/>
      <w:t>9/28/2025</w:t>
    </w:r>
    <w:r>
      <w:rPr/>
      <w:fldChar w:fldCharType="end"/>
    </w:r>
    <w:r>
      <w:rPr/>
      <w:tab/>
      <w:t xml:space="preserve">Page </w:t>
    </w:r>
    <w:r>
      <w:rPr/>
      <w:fldChar w:fldCharType="begin"/>
    </w:r>
    <w:r>
      <w:rPr/>
      <w:instrText xml:space="preserve"> PAGE </w:instrText>
    </w:r>
    <w:r>
      <w:rPr/>
      <w:fldChar w:fldCharType="separate"/>
    </w:r>
    <w:r>
      <w:rPr/>
      <w:t>2</w:t>
    </w:r>
    <w: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3">
              <wp:simplePos x="0" y="0"/>
              <wp:positionH relativeFrom="page">
                <wp:posOffset>2523490</wp:posOffset>
              </wp:positionH>
              <wp:positionV relativeFrom="paragraph">
                <wp:posOffset>635</wp:posOffset>
              </wp:positionV>
              <wp:extent cx="3877310" cy="658495"/>
              <wp:effectExtent l="0" t="0" r="0" b="0"/>
              <wp:wrapSquare wrapText="bothSides"/>
              <wp:docPr id="2" name="Frame1"/>
              <a:graphic xmlns:a="http://schemas.openxmlformats.org/drawingml/2006/main">
                <a:graphicData uri="http://schemas.microsoft.com/office/word/2010/wordprocessingShape">
                  <wps:wsp>
                    <wps:cNvSpPr txBox="1"/>
                    <wps:spPr>
                      <a:xfrm>
                        <a:off x="0" y="0"/>
                        <a:ext cx="3877310" cy="658495"/>
                      </a:xfrm>
                      <a:prstGeom prst="rect"/>
                      <a:solidFill>
                        <a:srgbClr val="FFFFFF">
                          <a:alpha val="0"/>
                        </a:srgbClr>
                      </a:solidFill>
                    </wps:spPr>
                    <wps:txbx>
                      <w:txbxContent>
                        <w:p>
                          <w:pPr>
                            <w:pStyle w:val="Normal"/>
                            <w:ind w:start="3600" w:end="0"/>
                            <w:rPr>
                              <w:b/>
                              <w:sz w:val="32"/>
                            </w:rPr>
                          </w:pPr>
                          <w:r>
                            <w:rPr>
                              <w:b/>
                              <w:sz w:val="32"/>
                            </w:rPr>
                            <w:t>InterofficeMemorandum</w:t>
                          </w:r>
                        </w:p>
                      </w:txbxContent>
                    </wps:txbx>
                    <wps:bodyPr anchor="t" lIns="0" tIns="0" rIns="0" bIns="0">
                      <a:noAutofit/>
                    </wps:bodyPr>
                  </wps:wsp>
                </a:graphicData>
              </a:graphic>
            </wp:anchor>
          </w:drawing>
        </mc:Choice>
        <mc:Fallback>
          <w:pict>
            <v:rect fillcolor="#FFFFFF" style="position:absolute;rotation:-0;width:305.3pt;height:51.85pt;mso-wrap-distance-left:9.35pt;mso-wrap-distance-right:9.35pt;mso-wrap-distance-top:0pt;mso-wrap-distance-bottom:0pt;margin-top:0.05pt;mso-position-vertical-relative:text;margin-left:198.7pt;mso-position-horizontal-relative:page">
              <v:fill opacity="0f"/>
              <v:textbox inset="0in,0in,0in,0in">
                <w:txbxContent>
                  <w:p>
                    <w:pPr>
                      <w:pStyle w:val="Normal"/>
                      <w:ind w:start="3600" w:end="0"/>
                      <w:rPr>
                        <w:b/>
                        <w:sz w:val="32"/>
                      </w:rPr>
                    </w:pPr>
                    <w:r>
                      <w:rPr>
                        <w:b/>
                        <w:sz w:val="32"/>
                      </w:rPr>
                      <w:t>InterofficeMemorandum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abstractNum w:abstractNumId="3">
    <w:lvl w:ilvl="0">
      <w:start w:val="3"/>
      <w:numFmt w:val="decimal"/>
      <w:lvlText w:val="%1."/>
      <w:lvlJc w:val="start"/>
      <w:pPr>
        <w:tabs>
          <w:tab w:val="num" w:pos="360"/>
        </w:tabs>
        <w:ind w:start="360" w:hanging="360"/>
      </w:pPr>
    </w:lvl>
  </w:abstractNum>
  <w:abstractNum w:abstractNumId="4">
    <w:lvl w:ilvl="0">
      <w:start w:val="1"/>
      <w:numFmt w:val="decimal"/>
      <w:lvlText w:val="%1."/>
      <w:lvlJc w:val="start"/>
      <w:pPr>
        <w:tabs>
          <w:tab w:val="num" w:pos="360"/>
        </w:tabs>
        <w:ind w:start="360" w:hanging="36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bidi w:val="0"/>
    </w:pPr>
    <w:rPr>
      <w:rFonts w:ascii="Arial" w:hAnsi="Arial" w:eastAsia="Times New Roman" w:cs="Arial"/>
      <w:color w:val="auto"/>
      <w:sz w:val="24"/>
      <w:szCs w:val="20"/>
      <w:lang w:val="en-US" w:eastAsia="zh-CN" w:bidi="hi-IN"/>
    </w:rPr>
  </w:style>
  <w:style w:type="paragraph" w:styleId="Heading3">
    <w:name w:val="heading 3"/>
    <w:basedOn w:val="Normal"/>
    <w:next w:val="NormalIndent"/>
    <w:qFormat/>
    <w:pPr>
      <w:numPr>
        <w:ilvl w:val="2"/>
        <w:numId w:val="1"/>
      </w:numPr>
      <w:ind w:hanging="0" w:start="360" w:end="0"/>
      <w:outlineLvl w:val="2"/>
    </w:pPr>
    <w:rPr>
      <w:rFonts w:ascii="CG Times" w:hAnsi="CG Times" w:cs="CG Times"/>
      <w:b/>
    </w:rPr>
  </w:style>
  <w:style w:type="character" w:styleId="WW8Num2z0">
    <w:name w:val="WW8Num2z0"/>
    <w:qFormat/>
    <w:rPr/>
  </w:style>
  <w:style w:type="character" w:styleId="DefaultParagraphFont">
    <w:name w:val="Default Paragraph Font"/>
    <w:qFormat/>
    <w:rPr/>
  </w:style>
  <w:style w:type="paragraph" w:styleId="Heading">
    <w:name w:val="Heading"/>
    <w:basedOn w:val="Normal"/>
    <w:next w:val="BodyText"/>
    <w:qFormat/>
    <w:pPr>
      <w:tabs>
        <w:tab w:val="clear" w:pos="540"/>
      </w:tabs>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rFonts w:ascii="Arial" w:hAnsi="Arial" w:cs="Arial"/>
      <w:sz w:val="20"/>
    </w:rPr>
  </w:style>
  <w:style w:type="paragraph" w:styleId="Body">
    <w:name w:val="Body"/>
    <w:basedOn w:val="Normal"/>
    <w:qFormat/>
    <w:pPr>
      <w:tabs>
        <w:tab w:val="clear" w:pos="540"/>
      </w:tabs>
      <w:ind w:hanging="0" w:start="72" w:end="0"/>
    </w:pPr>
    <w:rPr>
      <w:rFonts w:ascii="Arial" w:hAnsi="Arial" w:cs="Arial"/>
      <w:color w:val="000080"/>
      <w:sz w:val="20"/>
    </w:rPr>
  </w:style>
  <w:style w:type="paragraph" w:styleId="Department">
    <w:name w:val="Department"/>
    <w:basedOn w:val="Normal"/>
    <w:qFormat/>
    <w:pPr>
      <w:tabs>
        <w:tab w:val="clear" w:pos="540"/>
      </w:tabs>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Bfsmemo.dot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1999-09-21T11:33:00Z</dcterms:created>
  <dc:creator>Jeff Ford</dc:creator>
  <dc:description/>
  <dc:language>en-CA</dc:language>
  <cp:lastModifiedBy>vkamins</cp:lastModifiedBy>
  <cp:lastPrinted>1999-09-21T08:58:00Z</cp:lastPrinted>
  <dcterms:modified xsi:type="dcterms:W3CDTF">1999-09-21T11:33:00Z</dcterms:modified>
  <cp:revision>2</cp:revision>
  <dc:subject>AA Audit Memos</dc:subject>
  <dc:title>Better, Faster, Simpler Memo </dc:title>
</cp:coreProperties>
</file>