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1"/>
        </w:numPr>
        <w:rPr/>
      </w:pPr>
      <w:r>
        <w:rPr>
          <w:b/>
        </w:rPr>
        <w:t>Aruba</w:t>
      </w:r>
      <w:r>
        <w:rPr/>
        <w:t>. Low. We are helping the Structuring Group to produce the forecast of the aggregate natural gas consumption at the customer’s service territory. We are also helping to evaluate the forecasting models developed internally by the customer. No involvement in the development of the model for valuation of the transaction (no review of/no exposure to the model).</w:t>
      </w:r>
    </w:p>
    <w:p>
      <w:pPr>
        <w:pStyle w:val="BodyText"/>
        <w:numPr>
          <w:ilvl w:val="0"/>
          <w:numId w:val="1"/>
        </w:numPr>
        <w:rPr/>
      </w:pPr>
      <w:r>
        <w:rPr>
          <w:b/>
        </w:rPr>
        <w:t>Oglethorpe</w:t>
      </w:r>
      <w:r>
        <w:rPr/>
        <w:t>. None. We had neither any involvement in the development of the valuation model nor any exposure to the model. After the transaction was terminated, we used it as a case study for development of a general model for valuation of full requirement deals and/or generation assets. This model was used subsequently on a number of occasions.</w:t>
      </w:r>
    </w:p>
    <w:p>
      <w:pPr>
        <w:pStyle w:val="BodyText"/>
        <w:numPr>
          <w:ilvl w:val="0"/>
          <w:numId w:val="1"/>
        </w:numPr>
        <w:rPr/>
      </w:pPr>
      <w:r>
        <w:rPr>
          <w:b/>
        </w:rPr>
        <w:t>NPI</w:t>
      </w:r>
      <w:r>
        <w:rPr/>
        <w:t>. I don’t know what it is. I may have been exposed to this transaction under a different name.</w:t>
      </w:r>
    </w:p>
    <w:p>
      <w:pPr>
        <w:pStyle w:val="BodyText"/>
        <w:numPr>
          <w:ilvl w:val="0"/>
          <w:numId w:val="1"/>
        </w:numPr>
        <w:rPr/>
      </w:pPr>
      <w:r>
        <w:rPr>
          <w:b/>
        </w:rPr>
        <w:t>Peakers</w:t>
      </w:r>
      <w:r>
        <w:rPr/>
        <w:t>. Low. No involvement in the model development process till the spring of 1999. Grant Masson had a number of informal consultations with Rogers Herndon. Grant Masson also improved the price simulation process for the model used by Rodney Malcolm.</w:t>
      </w:r>
    </w:p>
    <w:p>
      <w:pPr>
        <w:pStyle w:val="BodyText"/>
        <w:numPr>
          <w:ilvl w:val="0"/>
          <w:numId w:val="1"/>
        </w:numPr>
        <w:rPr>
          <w:color w:val="0000FF"/>
        </w:rPr>
      </w:pPr>
      <w:r>
        <w:rPr>
          <w:b/>
        </w:rPr>
        <w:t>BUG</w:t>
      </w:r>
      <w:r>
        <w:rPr/>
        <w:t xml:space="preserve">. Medium. We helped the Structuring Group with some aspects of the modeling process (natural gas consumption forecasting and simulation process). We spent about one hour with the Structuring Group and were walked through the valuation model and asked for feedback.  </w:t>
      </w:r>
      <w:r>
        <w:rPr>
          <w:color w:val="0000FF"/>
        </w:rPr>
        <w:t>As this was quite late in the structuring process, there was insufficient time for us to develop any alternative model.</w:t>
      </w:r>
    </w:p>
    <w:p>
      <w:pPr>
        <w:pStyle w:val="BodyText"/>
        <w:numPr>
          <w:ilvl w:val="0"/>
          <w:numId w:val="1"/>
        </w:numPr>
        <w:rPr/>
      </w:pPr>
      <w:r>
        <w:rPr>
          <w:b/>
        </w:rPr>
        <w:t>Snake River</w:t>
      </w:r>
      <w:r>
        <w:rPr/>
        <w:t xml:space="preserve">. None. Grant Masson reviewed the valuation model currently in use and concluded that it looks like a modification of a model he had developed for a different transaction. The modification was done without his involvement and knowledge. </w:t>
      </w:r>
    </w:p>
    <w:p>
      <w:pPr>
        <w:pStyle w:val="BodyText"/>
        <w:numPr>
          <w:ilvl w:val="0"/>
          <w:numId w:val="1"/>
        </w:numPr>
        <w:rPr>
          <w:color w:val="0000FF"/>
        </w:rPr>
      </w:pPr>
      <w:r>
        <w:rPr>
          <w:b/>
          <w:color w:val="0000FF"/>
        </w:rPr>
        <w:t>Structured credit (fair value</w:t>
      </w:r>
      <w:r>
        <w:rPr>
          <w:color w:val="0000FF"/>
        </w:rPr>
        <w:t>). Complete Development of some models. We have developed, in the first half of 1999, a model for pricing fixed rate loan obligations with embedded pre-payment options.   Structured credit is currently in the process of migrating to this model.  Structured credit is using their own methods for evaluating positions which do not fall under the fixed-rate loan model, and they have requested that we develop a model for pricing floating rate credit obligations.</w:t>
      </w:r>
    </w:p>
    <w:p>
      <w:pPr>
        <w:pStyle w:val="BodyText"/>
        <w:numPr>
          <w:ilvl w:val="0"/>
          <w:numId w:val="1"/>
        </w:numPr>
        <w:rPr>
          <w:color w:val="0000FF"/>
        </w:rPr>
      </w:pPr>
      <w:r>
        <w:rPr>
          <w:b/>
          <w:color w:val="0000FF"/>
        </w:rPr>
        <w:t>Gas: FPL – PV effect</w:t>
      </w:r>
      <w:r>
        <w:rPr>
          <w:color w:val="0000FF"/>
        </w:rPr>
        <w:t>. Medium.  Research consulted with structuring on the pricing of this transaction and reviewed a spreadsheet valuation done by structuring.  We did not review the actual booking of the transaction.</w:t>
      </w:r>
    </w:p>
    <w:p>
      <w:pPr>
        <w:pStyle w:val="BodyText"/>
        <w:numPr>
          <w:ilvl w:val="0"/>
          <w:numId w:val="1"/>
        </w:numPr>
        <w:rPr>
          <w:color w:val="0000FF"/>
        </w:rPr>
      </w:pPr>
      <w:r>
        <w:rPr>
          <w:b/>
          <w:color w:val="0000FF"/>
        </w:rPr>
        <w:t>Gas: Basis options</w:t>
      </w:r>
      <w:r>
        <w:rPr>
          <w:color w:val="0000FF"/>
        </w:rPr>
        <w:t>. Complete Development. Basis options are valued using a spread option model developed by research.</w:t>
      </w:r>
    </w:p>
    <w:p>
      <w:pPr>
        <w:pStyle w:val="BodyText"/>
        <w:numPr>
          <w:ilvl w:val="0"/>
          <w:numId w:val="1"/>
        </w:numPr>
        <w:rPr>
          <w:color w:val="0000FF"/>
        </w:rPr>
      </w:pPr>
      <w:r>
        <w:rPr>
          <w:b/>
          <w:color w:val="0000FF"/>
        </w:rPr>
        <w:t>LCRA</w:t>
      </w:r>
      <w:r>
        <w:rPr>
          <w:color w:val="0000FF"/>
        </w:rPr>
        <w:t>. Complete development. The model in use is, to our knowledge, the model that was developed by Grant Masson’s unit.</w:t>
      </w:r>
    </w:p>
    <w:p>
      <w:pPr>
        <w:pStyle w:val="BodyText"/>
        <w:numPr>
          <w:ilvl w:val="0"/>
          <w:numId w:val="1"/>
        </w:numPr>
        <w:rPr>
          <w:color w:val="0000FF"/>
        </w:rPr>
      </w:pPr>
      <w:r>
        <w:rPr>
          <w:b/>
          <w:color w:val="0000FF"/>
        </w:rPr>
        <w:t>Welded Tube</w:t>
      </w:r>
      <w:r>
        <w:rPr>
          <w:color w:val="0000FF"/>
        </w:rPr>
        <w:t>. I have not heard about this transaction. I may know it under a different name.</w:t>
      </w:r>
    </w:p>
    <w:p>
      <w:pPr>
        <w:pStyle w:val="BodyText"/>
        <w:numPr>
          <w:ilvl w:val="0"/>
          <w:numId w:val="1"/>
        </w:numPr>
        <w:rPr>
          <w:color w:val="0000FF"/>
        </w:rPr>
      </w:pPr>
      <w:r>
        <w:rPr>
          <w:b/>
          <w:color w:val="0000FF"/>
        </w:rPr>
        <w:t>Heating Oil Exotic Options (Asian Spread).</w:t>
      </w:r>
      <w:r>
        <w:rPr>
          <w:color w:val="0000FF"/>
        </w:rPr>
        <w:t xml:space="preserve"> Complete Development. The Asian spread options are being valued using a model developed by research.</w:t>
      </w:r>
    </w:p>
    <w:p>
      <w:pPr>
        <w:pStyle w:val="BodyText"/>
        <w:numPr>
          <w:ilvl w:val="0"/>
          <w:numId w:val="1"/>
        </w:numPr>
        <w:rPr>
          <w:color w:val="0000FF"/>
        </w:rPr>
      </w:pPr>
      <w:r>
        <w:rPr>
          <w:b/>
          <w:color w:val="0000FF"/>
        </w:rPr>
        <w:t>NOX option</w:t>
      </w:r>
      <w:r>
        <w:rPr>
          <w:color w:val="0000FF"/>
        </w:rPr>
        <w:t>. High. The NOX options are plain vanilla European call options.  Research reviewed the spreadsheet used for booking these options.</w:t>
      </w:r>
    </w:p>
    <w:p>
      <w:pPr>
        <w:pStyle w:val="BodyText"/>
        <w:numPr>
          <w:ilvl w:val="0"/>
          <w:numId w:val="1"/>
        </w:numPr>
        <w:rPr>
          <w:color w:val="0000FF"/>
        </w:rPr>
      </w:pPr>
      <w:r>
        <w:rPr>
          <w:b/>
          <w:color w:val="0000FF"/>
        </w:rPr>
        <w:t>Interest rate</w:t>
      </w:r>
      <w:r>
        <w:rPr>
          <w:color w:val="0000FF"/>
        </w:rPr>
        <w:t>.  Theresa Brogan and I were unsure what specific position you were reviewing.</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1999-09-20T15:50:00Z</dcterms:created>
  <dc:creator>Ludmila Kaminski</dc:creator>
  <dc:description/>
  <dc:language>en-CA</dc:language>
  <cp:lastModifiedBy>vkamins</cp:lastModifiedBy>
  <cp:lastPrinted>1999-09-20T14:13:00Z</cp:lastPrinted>
  <dcterms:modified xsi:type="dcterms:W3CDTF">1999-09-21T14:48:00Z</dcterms:modified>
  <cp:revision>7</cp:revision>
  <dc:subject/>
  <dc:title>1</dc:title>
</cp:coreProperties>
</file>