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t>GENERAL TERMS AND CONDITIONS FOR</w:t>
      </w:r>
    </w:p>
    <w:p>
      <w:pPr>
        <w:pStyle w:val="Justified"/>
        <w:jc w:val="center"/>
        <w:rPr>
          <w:b/>
          <w:sz w:val="18"/>
        </w:rPr>
      </w:pPr>
      <w:r>
        <w:rPr>
          <w:b/>
          <w:sz w:val="18"/>
        </w:rPr>
        <w:t xml:space="preserve"> </w:t>
      </w:r>
      <w:r>
        <w:rPr>
          <w:b/>
          <w:sz w:val="18"/>
        </w:rPr>
        <w:t xml:space="preserve">ON-LINE PULP, PAPER, WOOD AND WOOD-RELATED PRODUCTS TRANSACTIONS </w:t>
      </w:r>
    </w:p>
    <w:p>
      <w:pPr>
        <w:pStyle w:val="Heading2"/>
        <w:spacing w:before="120" w:after="120"/>
        <w:ind w:hanging="0" w:start="0"/>
        <w:jc w:val="center"/>
        <w:rPr>
          <w:b/>
          <w:sz w:val="18"/>
        </w:rPr>
      </w:pPr>
      <w:r>
        <w:rPr>
          <w:b/>
          <w:sz w:val="18"/>
        </w:rPr>
        <w:t>SECTION 1. AGREEMENT AND CONTRACT FORMATION</w:t>
      </w:r>
    </w:p>
    <w:p>
      <w:pPr>
        <w:pStyle w:val="Heading2"/>
        <w:ind w:hanging="0" w:start="0"/>
        <w:jc w:val="both"/>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Pulp, Paper , Wood and Wood-Related Products ("Commodity") between Enron North America Corp. (or its affiliate that transacts in the Commodity that is the subject of a particular Transaction and that is identified in the Confirmation described below, all of whom are collectively referred to as "Enron") and another party (the "Counterparty").  Enron and Counterparty shall be referred to as a "Party" herein.  The special terms and conditions of a particular Transaction for the purchase, sale or exchange of the Commodity, including but not limited to, payment terms, price and delivery terms, shall be as set forth on the Website or as negotiated by the parties and set forth in a Confirmation referenced below ("Special Terms and Conditions").  Such Special Terms and Conditions, together with these General Terms and Conditions ("Terms") constitute the Parties' entire agreement ("Agreement") as to a particular Transaction and override and take the place of any terms or conditions emanating from or referred to by Counterparty. </w:t>
      </w:r>
    </w:p>
    <w:p>
      <w:pPr>
        <w:pStyle w:val="Heading2"/>
        <w:ind w:hanging="0" w:start="0"/>
        <w:jc w:val="both"/>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the Commodity by clicking on the designated boxes on theWebsite or by submitting an offer through the Website (as applicable).  Nothing on the Website is, nor shall it be construed as, an offer to buy or sell by Enron.   Enron may accept or reject Counterparty's offer at its sole discretion.  A Transaction shall be deemed executed and entered into at the time on a particular date ("Trade Date") that Enron first signifies its acceptance of Counterparty's offer, accessible on theWebsite.  </w:t>
      </w:r>
    </w:p>
    <w:p>
      <w:pPr>
        <w:pStyle w:val="Heading2"/>
        <w:ind w:firstLine="720" w:start="0" w:end="0"/>
        <w:jc w:val="both"/>
        <w:rPr/>
      </w:pPr>
      <w:r>
        <w:rPr>
          <w:sz w:val="18"/>
        </w:rPr>
        <w:t xml:space="preserve">The Parties agree that Enron may confirm a Transaction by giving (via facsimile or other means including but not limited to retrievable electronic communications)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Enron’s failure to do so shall not invalidate any Transaction previously entered into in accordance with the procedures of Section 1.2.  Once a Confirmation is given, if it is not executed by Counterparty (with any objections to the accuracy of the contents noted thereon) and returned to Enron or is not otherwise objected to by written notice to Enron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description or reference to the Commodity that is the subject of the Transaction, (iii) the Contract Quantity, (iv) the Purchase Price for the Commodity, and (v) such other terms as the Parties shall agree, including without limitation, delivery and payment procedures.  </w:t>
      </w:r>
    </w:p>
    <w:p>
      <w:pPr>
        <w:pStyle w:val="Heading2"/>
        <w:ind w:firstLine="720" w:start="0" w:end="0"/>
        <w:jc w:val="both"/>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jc w:val="both"/>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jc w:val="both"/>
        <w:rPr>
          <w:b/>
          <w:sz w:val="18"/>
        </w:rPr>
      </w:pPr>
      <w:r>
        <w:rPr>
          <w:sz w:val="18"/>
        </w:rPr>
        <w:t xml:space="preserve">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w:t>
      </w:r>
      <w:r>
        <w:rPr>
          <w:bCs/>
          <w:sz w:val="18"/>
        </w:rPr>
        <w:t>or representative</w:t>
      </w:r>
      <w:r>
        <w:rPr>
          <w:sz w:val="18"/>
        </w:rPr>
        <w:t xml:space="preserve"> of the Party had authority to enter into the Transaction </w:t>
      </w:r>
      <w:r>
        <w:rPr>
          <w:bCs/>
          <w:sz w:val="18"/>
        </w:rPr>
        <w:t>or (iii) the capacity of either Party or (iv) due authorization of the Transaction by either Party.  To the extent that any Terms are negotiated through telephone conversations, e</w:t>
      </w:r>
      <w:r>
        <w:rPr>
          <w:sz w:val="18"/>
        </w:rPr>
        <w:t>ach Party consents to the recording of its employees' or representatives' telephone conversations without any prior notice.</w:t>
      </w:r>
    </w:p>
    <w:p>
      <w:pPr>
        <w:pStyle w:val="Heading1"/>
        <w:spacing w:before="0" w:after="120"/>
        <w:ind w:hanging="0" w:start="0"/>
        <w:jc w:val="both"/>
        <w:rPr>
          <w:sz w:val="18"/>
        </w:rPr>
      </w:pPr>
      <w:r>
        <w:rPr>
          <w:sz w:val="18"/>
        </w:rPr>
        <w:t>SECTION 2.  REPRESENTATIONS AND WARRANTIES</w:t>
      </w:r>
    </w:p>
    <w:p>
      <w:pPr>
        <w:pStyle w:val="Justified"/>
        <w:jc w:val="both"/>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and (vi) there are no Legal Proceedings that materially adversely affect its ability to perform these Terms and each Transaction.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jc w:val="both"/>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w:t>
      </w:r>
    </w:p>
    <w:p>
      <w:pPr>
        <w:pStyle w:val="Heading2"/>
        <w:ind w:hanging="0" w:start="0"/>
        <w:jc w:val="both"/>
        <w:rPr/>
      </w:pPr>
      <w:r>
        <w:rPr>
          <w:sz w:val="18"/>
        </w:rPr>
        <w:t>3.2</w:t>
        <w:tab/>
      </w:r>
      <w:r>
        <w:rPr>
          <w:b/>
          <w:sz w:val="18"/>
          <w:u w:val="single"/>
        </w:rPr>
        <w:t>Delivery</w:t>
      </w:r>
      <w:r>
        <w:rPr>
          <w:sz w:val="18"/>
        </w:rPr>
        <w:t>.</w:t>
      </w:r>
    </w:p>
    <w:p>
      <w:pPr>
        <w:pStyle w:val="Heading2"/>
        <w:ind w:firstLine="720" w:start="0" w:end="0"/>
        <w:jc w:val="both"/>
        <w:rPr>
          <w:sz w:val="18"/>
        </w:rPr>
      </w:pPr>
      <w:r>
        <w:rPr>
          <w:sz w:val="18"/>
        </w:rPr>
        <w:t xml:space="preserve">(a) </w:t>
        <w:tab/>
        <w:t xml:space="preserve">The Commodity shall be delivered by the delivery method (FOB, C&amp;F, CIF, Delivered or otherwise) as specified in the Special Terms and Conditions for the Transaction.  </w:t>
      </w:r>
    </w:p>
    <w:p>
      <w:pPr>
        <w:pStyle w:val="Heading2"/>
        <w:ind w:firstLine="720" w:start="0" w:end="0"/>
        <w:jc w:val="both"/>
        <w:rPr>
          <w:sz w:val="18"/>
        </w:rPr>
      </w:pPr>
      <w:r>
        <w:rPr>
          <w:sz w:val="18"/>
        </w:rPr>
        <w:t xml:space="preserve">(b) </w:t>
        <w:tab/>
        <w:t>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w:t>
      </w:r>
    </w:p>
    <w:p>
      <w:pPr>
        <w:pStyle w:val="Heading2"/>
        <w:ind w:hanging="0" w:start="0"/>
        <w:jc w:val="both"/>
        <w:rPr>
          <w:caps/>
          <w:sz w:val="18"/>
        </w:rPr>
      </w:pPr>
      <w:r>
        <w:rPr>
          <w:sz w:val="18"/>
        </w:rPr>
        <w:t>3.3</w:t>
        <w:tab/>
      </w:r>
      <w:r>
        <w:rPr>
          <w:b/>
          <w:sz w:val="18"/>
          <w:u w:val="single"/>
        </w:rPr>
        <w:t>Payment</w:t>
      </w:r>
      <w:r>
        <w:rPr>
          <w:sz w:val="18"/>
        </w:rPr>
        <w:t>. Unless otherwise specified in the Confirmation or agreed to by the Parties, Buyer shall pay the Purchase Price for the Commodity  on the fifteenth (15</w:t>
      </w:r>
      <w:r>
        <w:rPr>
          <w:sz w:val="18"/>
          <w:vertAlign w:val="superscript"/>
        </w:rPr>
        <w:t>th</w:t>
      </w:r>
      <w:r>
        <w:rPr>
          <w:sz w:val="18"/>
        </w:rPr>
        <w:t>) day of the month following the month in which delivery of the Commodity occurs (or, if the 15</w:t>
      </w:r>
      <w:r>
        <w:rPr>
          <w:sz w:val="18"/>
          <w:vertAlign w:val="superscript"/>
        </w:rPr>
        <w:t>th</w:t>
      </w:r>
      <w:r>
        <w:rPr>
          <w:sz w:val="18"/>
        </w:rPr>
        <w:t xml:space="preserve"> day is not a Business Day, on the immediately succeeding Business Day).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jc w:val="both"/>
        <w:rPr/>
      </w:pPr>
      <w:r>
        <w:rPr>
          <w:sz w:val="18"/>
        </w:rPr>
        <w:t>3.4</w:t>
        <w:tab/>
      </w:r>
      <w:r>
        <w:rPr>
          <w:b/>
          <w:sz w:val="18"/>
          <w:u w:val="single"/>
        </w:rPr>
        <w:t>Taxes</w:t>
      </w:r>
      <w:r>
        <w:rPr>
          <w:sz w:val="18"/>
        </w:rPr>
        <w:t>.  Each Party shall be responsible for any taxes or other fees associated with its respective Delivery and receipt of the Commodity.</w:t>
      </w:r>
    </w:p>
    <w:p>
      <w:pPr>
        <w:pStyle w:val="Heading2"/>
        <w:ind w:hanging="0" w:start="0"/>
        <w:jc w:val="both"/>
        <w:rPr/>
      </w:pPr>
      <w:r>
        <w:rPr>
          <w:bCs/>
          <w:sz w:val="18"/>
        </w:rPr>
        <w:t>3.5</w:t>
        <w:tab/>
      </w:r>
      <w:r>
        <w:rPr>
          <w:b/>
          <w:sz w:val="18"/>
          <w:u w:val="single"/>
        </w:rPr>
        <w:t>Title/Risk of Loss</w:t>
      </w:r>
      <w:r>
        <w:rPr>
          <w:bCs/>
          <w:sz w:val="18"/>
        </w:rPr>
        <w:t>.  Title and risk of loss shall pass to Buyer upon delivery at the Delivery Point.</w:t>
      </w:r>
    </w:p>
    <w:p>
      <w:pPr>
        <w:pStyle w:val="Heading1"/>
        <w:spacing w:before="0" w:after="120"/>
        <w:ind w:hanging="0" w:start="0"/>
        <w:rPr>
          <w:sz w:val="18"/>
        </w:rPr>
      </w:pPr>
      <w:r>
        <w:rPr>
          <w:sz w:val="18"/>
        </w:rPr>
        <w:t>SECTION 4.  DEFAULTS AND REMEDIES</w:t>
      </w:r>
    </w:p>
    <w:p>
      <w:pPr>
        <w:pStyle w:val="Heading2"/>
        <w:ind w:hanging="0" w:start="0"/>
        <w:jc w:val="both"/>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jc w:val="both"/>
        <w:rPr/>
      </w:pPr>
      <w:r>
        <w:rPr>
          <w:sz w:val="18"/>
        </w:rPr>
        <w:t>4.2</w:t>
        <w:tab/>
      </w:r>
      <w:r>
        <w:rPr>
          <w:b/>
          <w:sz w:val="18"/>
          <w:u w:val="single"/>
        </w:rPr>
        <w:t>Remedies</w:t>
      </w:r>
      <w:r>
        <w:rPr>
          <w:sz w:val="18"/>
        </w:rPr>
        <w:t>.</w:t>
      </w:r>
    </w:p>
    <w:p>
      <w:pPr>
        <w:pStyle w:val="Heading6"/>
        <w:ind w:firstLine="720" w:start="0" w:end="0"/>
        <w:jc w:val="both"/>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jc w:val="both"/>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jc w:val="both"/>
        <w:rPr>
          <w:sz w:val="18"/>
        </w:rPr>
      </w:pPr>
      <w:r>
        <w:rPr>
          <w:sz w:val="18"/>
        </w:rPr>
        <w:tab/>
      </w:r>
    </w:p>
    <w:p>
      <w:pPr>
        <w:pStyle w:val="Heading1"/>
        <w:spacing w:before="0" w:after="120"/>
        <w:ind w:hanging="0" w:start="0"/>
        <w:rPr>
          <w:sz w:val="18"/>
        </w:rPr>
      </w:pPr>
      <w:r>
        <w:rPr>
          <w:sz w:val="18"/>
        </w:rPr>
        <w:t>SECTION 5.  Limitation of Remedies, Liability and Damages</w:t>
      </w:r>
    </w:p>
    <w:p>
      <w:pPr>
        <w:pStyle w:val="Justified"/>
        <w:jc w:val="both"/>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w:t>
      </w:r>
    </w:p>
    <w:p>
      <w:pPr>
        <w:pStyle w:val="Heading2"/>
        <w:ind w:hanging="0" w:start="0"/>
        <w:jc w:val="center"/>
        <w:rPr>
          <w:b/>
          <w:sz w:val="18"/>
        </w:rPr>
      </w:pPr>
      <w:r>
        <w:rPr>
          <w:b/>
          <w:sz w:val="18"/>
        </w:rPr>
        <w:t>SECTION 6.  FORCE MAJEURE</w:t>
      </w:r>
    </w:p>
    <w:p>
      <w:pPr>
        <w:pStyle w:val="Heading2"/>
        <w:ind w:hanging="0" w:start="0"/>
        <w:jc w:val="both"/>
        <w:rPr>
          <w:sz w:val="18"/>
        </w:rPr>
      </w:pPr>
      <w:r>
        <w:rPr>
          <w:sz w:val="18"/>
        </w:rPr>
        <w:t>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w:t>
      </w:r>
    </w:p>
    <w:p>
      <w:pPr>
        <w:pStyle w:val="Heading1"/>
        <w:spacing w:before="0" w:after="120"/>
        <w:ind w:hanging="0" w:start="0"/>
        <w:rPr>
          <w:sz w:val="18"/>
        </w:rPr>
      </w:pPr>
      <w:r>
        <w:rPr>
          <w:sz w:val="18"/>
        </w:rPr>
        <w:t>SECTION 7.  MISCELLANEOUS</w:t>
      </w:r>
    </w:p>
    <w:p>
      <w:pPr>
        <w:pStyle w:val="Normal"/>
        <w:spacing w:before="0" w:after="120"/>
        <w:jc w:val="both"/>
        <w:rPr/>
      </w:pPr>
      <w:r>
        <w:rPr>
          <w:sz w:val="18"/>
        </w:rPr>
        <w:t>7.1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jc w:val="both"/>
        <w:rPr/>
      </w:pPr>
      <w:r>
        <w:rPr>
          <w:sz w:val="18"/>
        </w:rPr>
        <w:t xml:space="preserve"> </w:t>
      </w:r>
      <w:r>
        <w:rPr>
          <w:sz w:val="18"/>
        </w:rPr>
        <w:t xml:space="preserve">7.2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jc w:val="both"/>
        <w:rPr/>
      </w:pPr>
      <w:r>
        <w:rPr>
          <w:sz w:val="18"/>
        </w:rPr>
        <w:t>7.3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Heading2"/>
        <w:ind w:hanging="0" w:start="0"/>
        <w:jc w:val="both"/>
        <w:rPr>
          <w:b/>
          <w:sz w:val="18"/>
        </w:rPr>
      </w:pPr>
      <w:r>
        <w:rPr>
          <w:sz w:val="18"/>
        </w:rPr>
        <w:t>7.4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jc w:val="both"/>
        <w:rPr/>
      </w:pPr>
      <w:r>
        <w:rPr>
          <w:sz w:val="18"/>
        </w:rPr>
        <w:t>7.5</w:t>
        <w:tab/>
      </w:r>
      <w:r>
        <w:rPr>
          <w:b/>
          <w:sz w:val="18"/>
          <w:u w:val="single"/>
        </w:rPr>
        <w:t>Notices</w:t>
      </w:r>
      <w:r>
        <w:rPr>
          <w:sz w:val="18"/>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jc w:val="both"/>
        <w:rPr/>
      </w:pPr>
      <w:r>
        <w:rPr>
          <w:sz w:val="18"/>
        </w:rPr>
        <w:t>7.6</w:t>
        <w:tab/>
      </w:r>
      <w:r>
        <w:rPr>
          <w:b/>
          <w:sz w:val="18"/>
          <w:u w:val="single"/>
        </w:rPr>
        <w:t>Governing Law</w:t>
      </w:r>
      <w:r>
        <w:rPr>
          <w:sz w:val="18"/>
        </w:rPr>
        <w:t xml:space="preserve">.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w:t>
      </w:r>
    </w:p>
    <w:p>
      <w:pPr>
        <w:pStyle w:val="Normal"/>
        <w:spacing w:before="0" w:after="120"/>
        <w:jc w:val="both"/>
        <w:rPr>
          <w:sz w:val="18"/>
        </w:rPr>
      </w:pPr>
      <w:r>
        <w:rPr>
          <w:sz w:val="18"/>
        </w:rPr>
        <w:t>7.7</w:t>
        <w:tab/>
      </w:r>
      <w:r>
        <w:rPr>
          <w:b/>
          <w:sz w:val="18"/>
          <w:u w:val="single"/>
        </w:rPr>
        <w:t>Submission to Jurisdiction.</w:t>
      </w:r>
    </w:p>
    <w:p>
      <w:pPr>
        <w:pStyle w:val="BodyTextIndent2"/>
        <w:jc w:val="both"/>
        <w:rPr/>
      </w:pPr>
      <w:r>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jc w:val="both"/>
        <w:rPr/>
      </w:pPr>
      <w:r>
        <w:rPr/>
        <w:t>(i)</w:t>
        <w:tab/>
        <w:t>consents to the non-exclusive personal jurisdiction of the courts located in the Borough of Manhattan, New York, USA;</w:t>
      </w:r>
    </w:p>
    <w:p>
      <w:pPr>
        <w:pStyle w:val="BodyTextIndent"/>
        <w:ind w:hanging="0" w:start="1440" w:end="0"/>
        <w:jc w:val="both"/>
        <w:rPr/>
      </w:pPr>
      <w:r>
        <w:rPr/>
        <w:t>(ii)</w:t>
        <w:tab/>
        <w:t>agrees that venue properly lies in the above-designated jurisdiction; and</w:t>
      </w:r>
    </w:p>
    <w:p>
      <w:pPr>
        <w:pStyle w:val="BodyTextIndent"/>
        <w:ind w:hanging="0" w:start="1440" w:end="0"/>
        <w:jc w:val="both"/>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jc w:val="both"/>
        <w:rPr/>
      </w:pPr>
      <w:r>
        <w:rPr/>
        <w:t>(b)</w:t>
        <w:tab/>
        <w:t>The Parties agree that a final judgment by any court in the above-designated jurisdiction covered by this Agreement shall be conclusive and may be enforced in other jurisdictions in any manner provided by law.</w:t>
      </w:r>
    </w:p>
    <w:p>
      <w:pPr>
        <w:pStyle w:val="BodyTextIndent"/>
        <w:ind w:firstLine="720" w:start="0" w:end="0"/>
        <w:jc w:val="both"/>
        <w:rPr/>
      </w:pPr>
      <w:r>
        <w:rPr/>
        <w:t>(c)</w:t>
        <w:tab/>
        <w:t>The Parties hereby waive any claim that a judgment obtained in the above-designated jurisdiction is invalid or unenforceable.</w:t>
      </w:r>
    </w:p>
    <w:p>
      <w:pPr>
        <w:pStyle w:val="BodyTextIndent"/>
        <w:ind w:firstLine="720" w:start="0" w:end="0"/>
        <w:jc w:val="both"/>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jc w:val="both"/>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spacing w:before="0" w:after="120"/>
        <w:jc w:val="both"/>
        <w:rPr/>
      </w:pPr>
      <w:r>
        <w:rPr>
          <w:sz w:val="18"/>
        </w:rPr>
        <w:t>7.8</w:t>
        <w:tab/>
      </w:r>
      <w:r>
        <w:rPr>
          <w:b/>
          <w:sz w:val="18"/>
          <w:u w:val="single"/>
        </w:rPr>
        <w:t>Arbitration</w:t>
      </w:r>
      <w:r>
        <w:rPr>
          <w:sz w:val="18"/>
        </w:rPr>
        <w:t>.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pulp, paper and/or wood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jc w:val="both"/>
        <w:rPr/>
      </w:pPr>
      <w:r>
        <w:rPr>
          <w:sz w:val="18"/>
        </w:rPr>
        <w:t>7.9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jc w:val="both"/>
        <w:rPr>
          <w:sz w:val="18"/>
        </w:rPr>
      </w:pPr>
      <w:r>
        <w:rPr>
          <w:sz w:val="18"/>
        </w:rPr>
        <w:t>7.10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jc w:val="center"/>
        <w:rPr>
          <w:b/>
          <w:sz w:val="18"/>
        </w:rPr>
      </w:pPr>
      <w:r>
        <w:rPr>
          <w:b/>
          <w:sz w:val="18"/>
        </w:rPr>
        <w:t>SECTION 8.  COLLATERAL ARRANGEMENTS</w:t>
      </w:r>
    </w:p>
    <w:p>
      <w:pPr>
        <w:pStyle w:val="Heading2"/>
        <w:ind w:hanging="0" w:start="0"/>
        <w:jc w:val="both"/>
        <w:rPr>
          <w:sz w:val="18"/>
        </w:rPr>
      </w:pPr>
      <w:r>
        <w:rPr>
          <w:sz w:val="18"/>
        </w:rPr>
        <w:t>Counterparty shall (at Enron's request) either: (i) within one (1)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to provide such letter of credit or parent company guaranty shall constitute a default hereunder, giving rise to the immediate right of termination by Enron under these Terms.</w:t>
      </w:r>
    </w:p>
    <w:p>
      <w:pPr>
        <w:pStyle w:val="Expanded"/>
        <w:spacing w:before="0" w:after="0"/>
        <w:rPr>
          <w:caps w:val="false"/>
          <w:smallCaps w:val="false"/>
          <w:spacing w:val="0"/>
          <w:sz w:val="18"/>
        </w:rPr>
      </w:pPr>
      <w:r>
        <w:rPr>
          <w:caps w:val="false"/>
          <w:smallCaps w:val="false"/>
          <w:spacing w:val="0"/>
          <w:sz w:val="18"/>
        </w:rPr>
        <w:t>SECTION 9.  DEFINITIONS</w:t>
      </w:r>
    </w:p>
    <w:p>
      <w:pPr>
        <w:pStyle w:val="Normal"/>
        <w:jc w:val="both"/>
        <w:rPr>
          <w:caps/>
          <w:spacing w:val="0"/>
          <w:sz w:val="18"/>
        </w:rPr>
      </w:pPr>
      <w:r>
        <w:rPr>
          <w:caps/>
          <w:spacing w:val="0"/>
          <w:sz w:val="18"/>
        </w:rPr>
      </w:r>
    </w:p>
    <w:p>
      <w:pPr>
        <w:pStyle w:val="Justified"/>
        <w:jc w:val="both"/>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jc w:val="both"/>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jc w:val="both"/>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jc w:val="both"/>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w:t>
      </w:r>
    </w:p>
    <w:p>
      <w:pPr>
        <w:pStyle w:val="Justified"/>
        <w:jc w:val="both"/>
        <w:rPr/>
      </w:pPr>
      <w:r>
        <w:rPr>
          <w:b/>
          <w:i/>
          <w:sz w:val="18"/>
        </w:rPr>
        <w:t>"</w:t>
      </w:r>
      <w:r>
        <w:rPr>
          <w:b/>
          <w:i/>
          <w:sz w:val="18"/>
          <w:u w:val="single"/>
        </w:rPr>
        <w:t>Buyer</w:t>
      </w:r>
      <w:r>
        <w:rPr>
          <w:b/>
          <w:i/>
          <w:sz w:val="18"/>
        </w:rPr>
        <w:t>"</w:t>
      </w:r>
      <w:r>
        <w:rPr>
          <w:sz w:val="18"/>
        </w:rPr>
        <w:t xml:space="preserve"> means the Party to a Transaction who is obligated to purchase and receive the Commodity, or with respect to an exchange of the Commodity, to receive the Commodity.</w:t>
      </w:r>
    </w:p>
    <w:p>
      <w:pPr>
        <w:pStyle w:val="Heading2"/>
        <w:ind w:hanging="0" w:start="0"/>
        <w:rPr/>
      </w:pPr>
      <w:r>
        <w:rPr>
          <w:b/>
          <w:bCs/>
          <w:i/>
          <w:iCs/>
          <w:sz w:val="18"/>
        </w:rPr>
        <w:t>"</w:t>
      </w:r>
      <w:r>
        <w:rPr>
          <w:b/>
          <w:bCs/>
          <w:i/>
          <w:iCs/>
          <w:sz w:val="18"/>
          <w:u w:val="single"/>
        </w:rPr>
        <w:t>Commodity</w:t>
      </w:r>
      <w:r>
        <w:rPr>
          <w:b/>
          <w:bCs/>
          <w:i/>
          <w:iCs/>
          <w:sz w:val="18"/>
        </w:rPr>
        <w:t>"</w:t>
      </w:r>
      <w:r>
        <w:rPr>
          <w:sz w:val="18"/>
        </w:rPr>
        <w:t xml:space="preserve"> means pulp, paper, wood, and wood-related products.</w:t>
      </w:r>
    </w:p>
    <w:p>
      <w:pPr>
        <w:pStyle w:val="Justified"/>
        <w:jc w:val="both"/>
        <w:rPr/>
      </w:pPr>
      <w:r>
        <w:rPr>
          <w:b/>
          <w:i/>
          <w:sz w:val="18"/>
        </w:rPr>
        <w:t>"</w:t>
      </w:r>
      <w:r>
        <w:rPr>
          <w:b/>
          <w:i/>
          <w:sz w:val="18"/>
          <w:u w:val="single"/>
        </w:rPr>
        <w:t>Confidential Information</w:t>
      </w:r>
      <w:r>
        <w:rPr>
          <w:b/>
          <w:i/>
          <w:sz w:val="18"/>
        </w:rPr>
        <w:t>"</w:t>
      </w:r>
      <w:r>
        <w:rPr>
          <w:sz w:val="18"/>
        </w:rPr>
        <w:t xml:space="preserve"> means all written information exchanged between Enron and Counterparty with respect to the pricing of the sale of the Commodity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jc w:val="both"/>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jc w:val="both"/>
        <w:rPr/>
      </w:pPr>
      <w:r>
        <w:rPr>
          <w:b/>
          <w:i/>
          <w:sz w:val="18"/>
        </w:rPr>
        <w:t>"</w:t>
      </w:r>
      <w:r>
        <w:rPr>
          <w:b/>
          <w:i/>
          <w:sz w:val="18"/>
          <w:u w:val="single"/>
        </w:rPr>
        <w:t>Contract Quantity</w:t>
      </w:r>
      <w:r>
        <w:rPr>
          <w:b/>
          <w:i/>
          <w:sz w:val="18"/>
        </w:rPr>
        <w:t>"</w:t>
      </w:r>
      <w:r>
        <w:rPr>
          <w:sz w:val="18"/>
        </w:rPr>
        <w:t xml:space="preserve"> means the amount of the Commodity that Seller agrees to sell to (or if applicable, exchange with) Buyer, and that Buyer agrees to purchase from (or if applicable, exchange with) Seller, pursuant to a Transaction.</w:t>
      </w:r>
    </w:p>
    <w:p>
      <w:pPr>
        <w:pStyle w:val="Heading2"/>
        <w:ind w:hanging="0" w:start="0"/>
        <w:jc w:val="both"/>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jc w:val="both"/>
        <w:rPr>
          <w:sz w:val="18"/>
        </w:rPr>
      </w:pPr>
      <w:r>
        <w:rPr>
          <w:b/>
          <w:i/>
          <w:sz w:val="18"/>
        </w:rPr>
        <w:t>"</w:t>
      </w:r>
      <w:r>
        <w:rPr>
          <w:b/>
          <w:i/>
          <w:sz w:val="18"/>
          <w:u w:val="single"/>
        </w:rPr>
        <w:t>Delivery Point</w:t>
      </w:r>
      <w:r>
        <w:rPr>
          <w:b/>
          <w:i/>
          <w:sz w:val="18"/>
        </w:rPr>
        <w:t xml:space="preserve">" </w:t>
      </w:r>
      <w:r>
        <w:rPr>
          <w:bCs/>
          <w:iCs/>
          <w:sz w:val="18"/>
        </w:rPr>
        <w:t>means the agreed point of delivery and receipt of the Commodity pursuant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jc w:val="both"/>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jc w:val="both"/>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jc w:val="both"/>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jc w:val="both"/>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w:t>
      </w:r>
    </w:p>
    <w:p>
      <w:pPr>
        <w:pStyle w:val="Justified"/>
        <w:jc w:val="both"/>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Justified"/>
        <w:jc w:val="both"/>
        <w:rPr/>
      </w:pPr>
      <w:r>
        <w:rPr>
          <w:b/>
          <w:i/>
          <w:sz w:val="18"/>
        </w:rPr>
        <w:t>"</w:t>
      </w:r>
      <w:r>
        <w:rPr>
          <w:b/>
          <w:i/>
          <w:sz w:val="18"/>
          <w:u w:val="single"/>
        </w:rPr>
        <w:t>Seller</w:t>
      </w:r>
      <w:r>
        <w:rPr>
          <w:b/>
          <w:i/>
          <w:sz w:val="18"/>
        </w:rPr>
        <w:t>"</w:t>
      </w:r>
      <w:r>
        <w:rPr>
          <w:sz w:val="18"/>
        </w:rPr>
        <w:t xml:space="preserve"> means the Party to a Transaction who is obligated to sell and transfer Commodity, or with respect to an exchange of Commodity, to transfer Commodity.</w:t>
      </w:r>
    </w:p>
    <w:p>
      <w:pPr>
        <w:pStyle w:val="Justified"/>
        <w:jc w:val="both"/>
        <w:rPr/>
      </w:pPr>
      <w:r>
        <w:rPr>
          <w:b/>
          <w:i/>
          <w:sz w:val="18"/>
        </w:rPr>
        <w:t>"</w:t>
      </w:r>
      <w:r>
        <w:rPr>
          <w:b/>
          <w:i/>
          <w:sz w:val="18"/>
          <w:u w:val="single"/>
        </w:rPr>
        <w:t>Transaction</w:t>
      </w:r>
      <w:r>
        <w:rPr>
          <w:b/>
          <w:i/>
          <w:sz w:val="18"/>
        </w:rPr>
        <w:t>"</w:t>
      </w:r>
      <w:r>
        <w:rPr>
          <w:sz w:val="18"/>
        </w:rPr>
        <w:t xml:space="preserve"> means a particular transaction, executed via the Website or otherwise agreed to by exchange of electronic communications between the Parties , relating to the purchase, sale or exchange of Commodity.</w:t>
      </w:r>
    </w:p>
    <w:p>
      <w:pPr>
        <w:pStyle w:val="Justified"/>
        <w:jc w:val="both"/>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spacing w:before="0" w:after="120"/>
        <w:ind w:hanging="0" w:start="0"/>
        <w:rPr/>
      </w:pPr>
      <w:r>
        <w:rPr>
          <w:i/>
          <w:iCs/>
          <w:sz w:val="20"/>
        </w:rPr>
        <w:t>"Website"</w:t>
      </w:r>
      <w:r>
        <w:rPr>
          <w:sz w:val="20"/>
        </w:rPr>
        <w:t xml:space="preserve"> means the website referencing this GTC.</w:t>
      </w:r>
    </w:p>
    <w:sectPr>
      <w:footerReference w:type="default" r:id="rId2"/>
      <w:footerReference w:type="first" r:id="rId3"/>
      <w:type w:val="nextPage"/>
      <w:pgSz w:w="12240" w:h="15840"/>
      <w:pgMar w:left="1008" w:right="1008" w:gutter="0" w:header="0" w:top="1008" w:footer="720" w:bottom="1008"/>
      <w:pgNumType w:start="1" w:fmt="decimal"/>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/mnt/main-storage/datasets/enron-docs/doc/AuctionGTC2Clean.doc</w:t>
    </w:r>
    <w:r>
      <w:rPr>
        <w:sz w:val="12"/>
      </w:rPr>
      <w:fldChar w:fldCharType="end"/>
    </w:r>
  </w:p>
  <w:p>
    <w:pPr>
      <w:pStyle w:val="Footer"/>
      <w:rPr>
        <w:sz w:val="12"/>
      </w:rPr>
    </w:pPr>
    <w:r>
      <w:rPr>
        <w:sz w:val="12"/>
      </w:rPr>
    </w:r>
  </w:p>
  <w:p>
    <w:pPr>
      <w:pStyle w:val="Footer"/>
      <w:rPr>
        <w:sz w:val="20"/>
      </w:rPr>
    </w:pPr>
    <w:r>
      <w:rPr>
        <w:sz w:val="20"/>
      </w:rPr>
    </w:r>
  </w:p>
  <w:p>
    <w:pPr>
      <w:pStyle w:val="Normal"/>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2000-07-14T00:29:00Z</dcterms:created>
  <dc:creator>Karen A. Cordova</dc:creator>
  <dc:description>last update 4/23/97</dc:description>
  <dc:language>en-CA</dc:language>
  <cp:lastModifiedBy>Travis McCullough</cp:lastModifiedBy>
  <cp:lastPrinted>2000-07-13T21:45:00Z</cp:lastPrinted>
  <dcterms:modified xsi:type="dcterms:W3CDTF">2000-07-14T00:29:00Z</dcterms:modified>
  <cp:revision>2</cp:revision>
  <dc:subject>FORM</dc:subject>
  <dc:title>Master SO2 All Purchase &amp; Sale Agr      </dc:title>
</cp:coreProperties>
</file>