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September 12,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720" w:start="720" w:end="0"/>
        <w:rPr/>
      </w:pPr>
      <w:r>
        <w:rPr/>
        <w:t>Re:</w:t>
        <w:tab/>
      </w:r>
      <w:r>
        <w:rPr>
          <w:i/>
          <w:iCs/>
        </w:rPr>
        <w:t>Attorney General Investigation</w:t>
      </w:r>
    </w:p>
    <w:p>
      <w:pPr>
        <w:pStyle w:val="Normal"/>
        <w:ind w:hanging="720" w:start="720" w:end="0"/>
        <w:rPr>
          <w:i/>
          <w:i/>
          <w:iCs/>
        </w:rPr>
      </w:pPr>
      <w:r>
        <w:rPr>
          <w:i/>
          <w:iCs/>
        </w:rPr>
      </w:r>
    </w:p>
    <w:p>
      <w:pPr>
        <w:pStyle w:val="Normal"/>
        <w:rPr/>
      </w:pPr>
      <w:r>
        <w:rPr/>
        <w:t>Dear [Customer]:</w:t>
      </w:r>
    </w:p>
    <w:p>
      <w:pPr>
        <w:pStyle w:val="Normal"/>
        <w:rPr/>
      </w:pPr>
      <w:r>
        <w:rPr/>
      </w:r>
    </w:p>
    <w:p>
      <w:pPr>
        <w:pStyle w:val="Normal"/>
        <w:rPr/>
      </w:pPr>
      <w:r>
        <w:rPr/>
        <w:t>This letter is to update you on the status of the Attorney General’s subpoena.</w:t>
      </w:r>
    </w:p>
    <w:p>
      <w:pPr>
        <w:pStyle w:val="Normal"/>
        <w:rPr/>
      </w:pPr>
      <w:r>
        <w:rPr/>
      </w:r>
    </w:p>
    <w:p>
      <w:pPr>
        <w:pStyle w:val="Normal"/>
        <w:rPr/>
      </w:pPr>
      <w:r>
        <w:rPr/>
        <w:t xml:space="preserve">As we previously informed you, the Attorney General is conducting an investigation of Enron, Reliant, Duke, Mirant, and other suppliers relating to the “California energy crisis.”  As our previous letter indicated, Enron Energy Services [Enron Energy Marketing] received a subpoena for documents in that investigation.  The Attorney General also subpoenaed a list of our northern California customers from PG&amp;E.  As a result you may have recently received a letter from the Attorney General’s office or been contacted by an investigator with that office.  </w:t>
      </w:r>
    </w:p>
    <w:p>
      <w:pPr>
        <w:pStyle w:val="Normal"/>
        <w:rPr/>
      </w:pPr>
      <w:r>
        <w:rPr/>
      </w:r>
    </w:p>
    <w:p>
      <w:pPr>
        <w:pStyle w:val="Normal"/>
        <w:rPr/>
      </w:pPr>
      <w:r>
        <w:rPr/>
        <w:t>We think the specifics of your business relationship with us are confidential.  We think the Attorney General is on a politically motivated witch hunt, and is pressing for these documents solely for harassment purposes.  Many of our customers have expressed concerns about copies of their contracts being given to the Attorney General.  We have sought the Attorney General’s agreement to accept contracts with price and other confidential commercial information redacted.  We are also trying to get the Attorney General to agree not to share any of your documents with third parties.  To date, the Attorney General has not been willing to agree to these logical, reasonable requests.  Harassment is more effective the more illogical and unreasonable it is.</w:t>
      </w:r>
    </w:p>
    <w:p>
      <w:pPr>
        <w:pStyle w:val="Normal"/>
        <w:rPr/>
      </w:pPr>
      <w:r>
        <w:rPr/>
      </w:r>
    </w:p>
    <w:p>
      <w:pPr>
        <w:pStyle w:val="Normal"/>
        <w:rPr/>
      </w:pPr>
      <w:r>
        <w:rPr/>
        <w:t>We will continue to seek to protect the confidentiality of the terms of our contract with you, as indeed the contract obligates us to do.  Under our contract, you must do likewise if contacted by the Attorney General.  Ultimately, we are confident that the people of California will put a stop to this ridiculous waste of their tax dollars, and we can all return to a more productive use of our time.</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Dave Delainey</w:t>
      </w:r>
    </w:p>
    <w:p>
      <w:pPr>
        <w:pStyle w:val="Normal"/>
        <w:rPr/>
      </w:pPr>
      <w:r>
        <w:rPr/>
      </w:r>
    </w:p>
    <w:p>
      <w:pPr>
        <w:pStyle w:val="Normal"/>
        <w:rPr/>
      </w:pPr>
      <w:r>
        <w:rPr/>
        <w:t>RCW:jc</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t>September 12,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2001-09-12T11:06:00Z</dcterms:created>
  <dc:creator>jcooley</dc:creator>
  <dc:description/>
  <dc:language>en-CA</dc:language>
  <cp:lastModifiedBy>jcooley</cp:lastModifiedBy>
  <cp:lastPrinted>2001-09-12T10:17:00Z</cp:lastPrinted>
  <dcterms:modified xsi:type="dcterms:W3CDTF">2001-09-12T12:58:00Z</dcterms:modified>
  <cp:revision>8</cp:revision>
  <dc:subject/>
  <dc:title>August 2, 1999</dc:title>
</cp:coreProperties>
</file>