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</w:rPr>
        <w:t>Attention Accounting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Please take note that the descriptions of 2 GL balance sheet accounts have been changed in the global Enron SAP Chart of Accounts, COA1.  The use of the accounts remains the same.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25100200  Prudency Reserve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to 25100200 – Valuation Adjustment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25100300 – Prudency Deal Specific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to 25100300 – Deal Specific Adjustment.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BodyText"/>
        <w:rPr>
          <w:color w:val="000000"/>
        </w:rPr>
      </w:pPr>
      <w:r>
        <w:rPr>
          <w:color w:val="000000"/>
        </w:rPr>
        <w:t>Should you have any questions regarding the name changes, please contact Elaine Schield.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0000FF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2001-10-22T13:35:00Z</dcterms:created>
  <dc:creator>dfritz</dc:creator>
  <dc:description/>
  <dc:language>en-CA</dc:language>
  <cp:lastModifiedBy>dfritz</cp:lastModifiedBy>
  <dcterms:modified xsi:type="dcterms:W3CDTF">2001-10-22T13:35:00Z</dcterms:modified>
  <cp:revision>2</cp:revision>
  <dc:subject/>
  <dc:title>Attention Accountants</dc:title>
</cp:coreProperties>
</file>