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center" w:pos="4500" w:leader="none"/>
        </w:tabs>
        <w:ind w:hanging="0" w:start="0"/>
        <w:jc w:val="start"/>
        <w:rPr/>
      </w:pPr>
      <w:r>
        <w:rPr>
          <w:rFonts w:cs="Arial" w:ascii="Arial" w:hAnsi="Arial"/>
          <w:sz w:val="22"/>
          <w:u w:val="none"/>
        </w:rPr>
        <w:tab/>
      </w:r>
      <w:r>
        <w:rPr>
          <w:rFonts w:cs="Arial" w:ascii="Arial" w:hAnsi="Arial"/>
          <w:sz w:val="28"/>
          <w:u w:val="none"/>
        </w:rPr>
        <w:t>Attachment I</w:t>
      </w:r>
    </w:p>
    <w:p>
      <w:pPr>
        <w:pStyle w:val="Heading1"/>
        <w:tabs>
          <w:tab w:val="clear" w:pos="720"/>
          <w:tab w:val="center" w:pos="4500" w:leader="none"/>
        </w:tabs>
        <w:ind w:hanging="0" w:start="0"/>
        <w:rPr>
          <w:rFonts w:ascii="Arial" w:hAnsi="Arial" w:cs="Arial"/>
          <w:sz w:val="28"/>
          <w:u w:val="none"/>
        </w:rPr>
      </w:pPr>
      <w:r>
        <w:rPr>
          <w:rFonts w:cs="Arial" w:ascii="Arial" w:hAnsi="Arial"/>
          <w:sz w:val="28"/>
          <w:u w:val="none"/>
        </w:rPr>
        <w:t>Construction Execution Plan</w:t>
      </w:r>
    </w:p>
    <w:p>
      <w:pPr>
        <w:pStyle w:val="DefaultText"/>
        <w:widowControl w:val="false"/>
        <w:tabs>
          <w:tab w:val="clear" w:pos="1360"/>
          <w:tab w:val="clear" w:pos="2664"/>
          <w:tab w:val="clear" w:pos="3969"/>
          <w:tab w:val="clear" w:pos="5273"/>
          <w:tab w:val="clear" w:pos="6577"/>
          <w:tab w:val="clear" w:pos="7881"/>
          <w:tab w:val="clear" w:pos="9185"/>
          <w:tab w:val="clear" w:pos="10489"/>
          <w:tab w:val="clear" w:pos="11793"/>
          <w:tab w:val="clear" w:pos="13097"/>
          <w:tab w:val="clear" w:pos="14401"/>
        </w:tabs>
        <w:rPr>
          <w:rFonts w:ascii="Arial" w:hAnsi="Arial" w:cs="Arial"/>
          <w:sz w:val="22"/>
          <w:u w:val="none"/>
          <w:lang w:val="en-US"/>
        </w:rPr>
      </w:pPr>
      <w:r>
        <w:rPr>
          <w:rFonts w:cs="Arial" w:ascii="Arial" w:hAnsi="Arial"/>
          <w:sz w:val="22"/>
          <w:u w:val="none"/>
          <w:lang w:val="en-US"/>
        </w:rPr>
      </w:r>
    </w:p>
    <w:p>
      <w:pPr>
        <w:pStyle w:val="Normal"/>
        <w:rPr>
          <w:rFonts w:ascii="Arial" w:hAnsi="Arial" w:cs="Arial"/>
          <w:sz w:val="22"/>
          <w:lang w:val="en-US"/>
        </w:rPr>
      </w:pPr>
      <w:r>
        <w:rPr>
          <w:rFonts w:cs="Arial" w:ascii="Arial" w:hAnsi="Arial"/>
          <w:sz w:val="22"/>
          <w:lang w:val="en-US"/>
        </w:rPr>
      </w:r>
    </w:p>
    <w:p>
      <w:pPr>
        <w:pStyle w:val="Heading5"/>
        <w:tabs>
          <w:tab w:val="left" w:pos="720" w:leader="none"/>
          <w:tab w:val="left" w:pos="1440" w:leader="none"/>
          <w:tab w:val="left" w:pos="2160" w:leader="none"/>
          <w:tab w:val="left" w:pos="2880" w:leader="none"/>
        </w:tabs>
        <w:ind w:hanging="0" w:start="0"/>
        <w:jc w:val="both"/>
        <w:rPr>
          <w:rFonts w:ascii="Arial" w:hAnsi="Arial" w:cs="Arial"/>
          <w:sz w:val="22"/>
        </w:rPr>
      </w:pPr>
      <w:r>
        <w:rPr>
          <w:rFonts w:cs="Arial" w:ascii="Arial" w:hAnsi="Arial"/>
          <w:sz w:val="22"/>
        </w:rPr>
        <w:t>I.</w:t>
        <w:tab/>
        <w:t>PURPOSE</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This Execution Plan addresses the Balance of Plant Engineering, Procurement and Construction requirements for the referenced project.  It consists of an outlined narrative of how Enron Wind Constructors Corp. (EWCC) will manage the Balance of Plant, Procurement and Construction aspects of the project.  Power Systems Department of Enron Wind Energy Services (EWES) will manage the Balance of Plant Engineering relative to power systems and communication systems. Refer to the overall Project Execution Plan for how the overall project will be executed.</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Heading6"/>
        <w:tabs>
          <w:tab w:val="left" w:pos="720" w:leader="none"/>
          <w:tab w:val="left" w:pos="1440" w:leader="none"/>
          <w:tab w:val="left" w:pos="2160" w:leader="none"/>
          <w:tab w:val="left" w:pos="2880" w:leader="none"/>
        </w:tabs>
        <w:ind w:hanging="360" w:start="360" w:end="0"/>
        <w:jc w:val="both"/>
        <w:rPr>
          <w:rFonts w:ascii="Arial" w:hAnsi="Arial" w:cs="Arial"/>
          <w:sz w:val="22"/>
        </w:rPr>
      </w:pPr>
      <w:r>
        <w:rPr>
          <w:rFonts w:cs="Arial" w:ascii="Arial" w:hAnsi="Arial"/>
          <w:sz w:val="22"/>
        </w:rPr>
        <w:t>II.</w:t>
        <w:tab/>
        <w:t>PROJECT DESCRIPTION</w:t>
      </w:r>
    </w:p>
    <w:p>
      <w:pPr>
        <w:pStyle w:val="Heading6"/>
        <w:tabs>
          <w:tab w:val="left" w:pos="720" w:leader="none"/>
          <w:tab w:val="left" w:pos="1440" w:leader="none"/>
          <w:tab w:val="left" w:pos="2160" w:leader="none"/>
          <w:tab w:val="left" w:pos="2880" w:leader="none"/>
        </w:tabs>
        <w:ind w:hanging="360" w:start="360" w:end="0"/>
        <w:jc w:val="both"/>
        <w:rPr>
          <w:rFonts w:ascii="Arial" w:hAnsi="Arial" w:cs="Arial"/>
          <w:sz w:val="22"/>
        </w:rPr>
      </w:pPr>
      <w:r>
        <w:rPr>
          <w:rFonts w:cs="Arial" w:ascii="Arial" w:hAnsi="Arial"/>
          <w:sz w:val="22"/>
        </w:rPr>
      </w:r>
    </w:p>
    <w:p>
      <w:pPr>
        <w:pStyle w:val="Heading6"/>
        <w:tabs>
          <w:tab w:val="left" w:pos="720" w:leader="none"/>
          <w:tab w:val="left" w:pos="1440" w:leader="none"/>
          <w:tab w:val="left" w:pos="2160" w:leader="none"/>
          <w:tab w:val="left" w:pos="2880" w:leader="none"/>
        </w:tabs>
        <w:ind w:hanging="360" w:start="360" w:end="0"/>
        <w:jc w:val="both"/>
        <w:rPr>
          <w:rFonts w:ascii="Arial" w:hAnsi="Arial" w:cs="Arial"/>
          <w:sz w:val="22"/>
        </w:rPr>
      </w:pPr>
      <w:r>
        <w:rPr>
          <w:rFonts w:cs="Arial" w:ascii="Arial" w:hAnsi="Arial"/>
          <w:sz w:val="22"/>
        </w:rPr>
        <w:t>A.</w:t>
        <w:tab/>
        <w:t>General Information</w:t>
      </w:r>
    </w:p>
    <w:p>
      <w:pPr>
        <w:pStyle w:val="Normal"/>
        <w:tabs>
          <w:tab w:val="clear" w:pos="720"/>
          <w:tab w:val="left" w:pos="2160" w:leader="none"/>
          <w:tab w:val="left" w:pos="2880" w:leader="none"/>
        </w:tabs>
        <w:ind w:hanging="720" w:start="2160" w:end="0"/>
        <w:jc w:val="both"/>
        <w:rPr>
          <w:rFonts w:ascii="Arial" w:hAnsi="Arial" w:cs="Arial"/>
          <w:b/>
          <w:sz w:val="22"/>
        </w:rPr>
      </w:pPr>
      <w:r>
        <w:rPr>
          <w:rFonts w:cs="Arial" w:ascii="Arial" w:hAnsi="Arial"/>
          <w:b/>
          <w:sz w:val="22"/>
        </w:rPr>
      </w:r>
    </w:p>
    <w:p>
      <w:pPr>
        <w:pStyle w:val="BodyTextIndent"/>
        <w:numPr>
          <w:ilvl w:val="0"/>
          <w:numId w:val="4"/>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EWCC will design and construct a 135 MW wind power generation facility on Indian Mesa, approximately 10 miles from the town of Iraan, TX.</w:t>
      </w:r>
    </w:p>
    <w:p>
      <w:pPr>
        <w:pStyle w:val="BodyTextIndent"/>
        <w:tabs>
          <w:tab w:val="clear" w:pos="720"/>
          <w:tab w:val="left" w:pos="1800" w:leader="none"/>
          <w:tab w:val="left" w:pos="2160" w:leader="none"/>
          <w:tab w:val="left" w:pos="2880" w:leader="none"/>
        </w:tabs>
        <w:ind w:hanging="720" w:start="2160" w:end="0"/>
        <w:jc w:val="both"/>
        <w:rPr>
          <w:rFonts w:ascii="Arial" w:hAnsi="Arial" w:cs="Arial"/>
          <w:sz w:val="22"/>
        </w:rPr>
      </w:pPr>
      <w:r>
        <w:rPr>
          <w:rFonts w:cs="Arial" w:ascii="Arial" w:hAnsi="Arial"/>
          <w:sz w:val="22"/>
        </w:rPr>
      </w:r>
    </w:p>
    <w:p>
      <w:pPr>
        <w:pStyle w:val="BodyTextIndent"/>
        <w:numPr>
          <w:ilvl w:val="0"/>
          <w:numId w:val="4"/>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 xml:space="preserve">The main entrance to the site is located 2.2 miles North East of Interstate Highway I-10 on US Highway 190. </w:t>
      </w:r>
    </w:p>
    <w:p>
      <w:pPr>
        <w:pStyle w:val="Normal"/>
        <w:tabs>
          <w:tab w:val="left" w:pos="720" w:leader="none"/>
          <w:tab w:val="left" w:pos="2160" w:leader="none"/>
          <w:tab w:val="left" w:pos="2880" w:leader="none"/>
        </w:tabs>
        <w:ind w:hanging="720" w:start="720" w:end="0"/>
        <w:jc w:val="both"/>
        <w:rPr>
          <w:rFonts w:ascii="Arial" w:hAnsi="Arial" w:cs="Arial"/>
          <w:sz w:val="22"/>
        </w:rPr>
      </w:pPr>
      <w:r>
        <w:rPr>
          <w:rFonts w:cs="Arial" w:ascii="Arial" w:hAnsi="Arial"/>
          <w:sz w:val="22"/>
        </w:rPr>
      </w:r>
    </w:p>
    <w:p>
      <w:pPr>
        <w:pStyle w:val="Heading7"/>
        <w:ind w:hanging="0" w:start="0"/>
        <w:rPr>
          <w:rFonts w:ascii="Arial" w:hAnsi="Arial" w:cs="Arial"/>
          <w:sz w:val="22"/>
        </w:rPr>
      </w:pPr>
      <w:r>
        <w:rPr>
          <w:rFonts w:cs="Arial" w:ascii="Arial" w:hAnsi="Arial"/>
          <w:sz w:val="22"/>
        </w:rPr>
        <w:t>B.</w:t>
        <w:tab/>
        <w:t>Scope</w:t>
      </w:r>
    </w:p>
    <w:p>
      <w:pPr>
        <w:pStyle w:val="Normal"/>
        <w:tabs>
          <w:tab w:val="clear" w:pos="720"/>
          <w:tab w:val="left" w:pos="1440" w:leader="none"/>
          <w:tab w:val="left" w:pos="2160" w:leader="none"/>
          <w:tab w:val="left" w:pos="2880" w:leader="none"/>
        </w:tabs>
        <w:ind w:hanging="720" w:start="720" w:end="0"/>
        <w:jc w:val="both"/>
        <w:rPr>
          <w:rFonts w:ascii="Arial" w:hAnsi="Arial" w:cs="Arial"/>
          <w:sz w:val="22"/>
        </w:rPr>
      </w:pPr>
      <w:r>
        <w:rPr>
          <w:rFonts w:cs="Arial" w:ascii="Arial" w:hAnsi="Arial"/>
          <w:sz w:val="22"/>
        </w:rPr>
      </w:r>
    </w:p>
    <w:p>
      <w:pPr>
        <w:pStyle w:val="BodyText"/>
        <w:tabs>
          <w:tab w:val="clear" w:pos="720"/>
          <w:tab w:val="left" w:pos="1440" w:leader="none"/>
          <w:tab w:val="left" w:pos="2160" w:leader="none"/>
          <w:tab w:val="left" w:pos="2880" w:leader="none"/>
        </w:tabs>
        <w:rPr>
          <w:rFonts w:ascii="Arial" w:hAnsi="Arial" w:cs="Arial"/>
          <w:sz w:val="22"/>
        </w:rPr>
      </w:pPr>
      <w:r>
        <w:rPr>
          <w:rFonts w:cs="Arial" w:ascii="Arial" w:hAnsi="Arial"/>
          <w:sz w:val="22"/>
        </w:rPr>
        <w:t>EWCC’s scope of work will consist of provision of all supervision, manpower, tools, equipment and materials necessary to provide the following services:</w:t>
      </w:r>
    </w:p>
    <w:p>
      <w:pPr>
        <w:pStyle w:val="Normal"/>
        <w:tabs>
          <w:tab w:val="clear" w:pos="720"/>
          <w:tab w:val="left" w:pos="1440" w:leader="none"/>
          <w:tab w:val="left" w:pos="2160" w:leader="none"/>
          <w:tab w:val="left" w:pos="2880" w:leader="none"/>
        </w:tabs>
        <w:ind w:hanging="720" w:start="720" w:end="0"/>
        <w:jc w:val="both"/>
        <w:rPr>
          <w:rFonts w:ascii="Arial" w:hAnsi="Arial" w:cs="Arial"/>
          <w:sz w:val="22"/>
        </w:rPr>
      </w:pPr>
      <w:r>
        <w:rPr>
          <w:rFonts w:cs="Arial" w:ascii="Arial" w:hAnsi="Arial"/>
          <w:sz w:val="22"/>
        </w:rPr>
      </w:r>
    </w:p>
    <w:p>
      <w:pPr>
        <w:pStyle w:val="Normal"/>
        <w:numPr>
          <w:ilvl w:val="0"/>
          <w:numId w:val="5"/>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Installation of 90 EW 1.5 MW Wind Turbine Generators (WTG) on 65-meter tubular steel towers, with a name plate capacity of 135 MW.</w:t>
      </w:r>
    </w:p>
    <w:p>
      <w:pPr>
        <w:pStyle w:val="Normal"/>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5"/>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Upgrade of the existing site roads to support the movement of heavy construction equipment and delivery vehicles.</w:t>
      </w:r>
    </w:p>
    <w:p>
      <w:pPr>
        <w:pStyle w:val="Normal"/>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5"/>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Design, procurement and construction of foundations for each of the WTG towers, using the patented Patrick &amp; Henderson foundation design.</w:t>
      </w:r>
    </w:p>
    <w:p>
      <w:pPr>
        <w:pStyle w:val="Normal"/>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5"/>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 xml:space="preserve">Design, procurement and construction of an electrical collection system to transport the electricity from each WTG to a central substation.  The collection system will be a combination of underground and overhead lines consisting of </w:t>
      </w:r>
    </w:p>
    <w:p>
      <w:pPr>
        <w:pStyle w:val="DefaultText"/>
        <w:widowControl w:val="false"/>
        <w:tabs>
          <w:tab w:val="clear" w:pos="1360"/>
          <w:tab w:val="clear" w:pos="2664"/>
          <w:tab w:val="clear" w:pos="3969"/>
          <w:tab w:val="clear" w:pos="5273"/>
          <w:tab w:val="clear" w:pos="6577"/>
          <w:tab w:val="clear" w:pos="7881"/>
          <w:tab w:val="clear" w:pos="9185"/>
          <w:tab w:val="clear" w:pos="10489"/>
          <w:tab w:val="clear" w:pos="11793"/>
          <w:tab w:val="clear" w:pos="13097"/>
          <w:tab w:val="clear" w:pos="14401"/>
          <w:tab w:val="left" w:pos="1440" w:leader="none"/>
          <w:tab w:val="left" w:pos="2160" w:leader="none"/>
          <w:tab w:val="left" w:pos="2880" w:leader="none"/>
        </w:tabs>
        <w:ind w:hanging="720" w:start="1440" w:end="0"/>
        <w:jc w:val="both"/>
        <w:rPr>
          <w:rFonts w:ascii="Arial" w:hAnsi="Arial" w:cs="Arial"/>
          <w:sz w:val="22"/>
          <w:lang w:val="en-US"/>
        </w:rPr>
      </w:pPr>
      <w:r>
        <w:rPr>
          <w:rFonts w:cs="Arial" w:ascii="Arial" w:hAnsi="Arial"/>
          <w:sz w:val="22"/>
          <w:lang w:val="en-US"/>
        </w:rPr>
      </w:r>
    </w:p>
    <w:p>
      <w:pPr>
        <w:pStyle w:val="Normal"/>
        <w:numPr>
          <w:ilvl w:val="0"/>
          <w:numId w:val="7"/>
        </w:numPr>
        <w:tabs>
          <w:tab w:val="clear" w:pos="720"/>
          <w:tab w:val="left" w:pos="1440" w:leader="none"/>
          <w:tab w:val="left" w:pos="2160" w:leader="none"/>
          <w:tab w:val="left" w:pos="2880" w:leader="none"/>
        </w:tabs>
        <w:ind w:hanging="720" w:start="2160" w:end="0"/>
        <w:jc w:val="both"/>
        <w:rPr>
          <w:rFonts w:ascii="Arial" w:hAnsi="Arial" w:cs="Arial"/>
          <w:sz w:val="22"/>
        </w:rPr>
      </w:pPr>
      <w:r>
        <w:rPr>
          <w:rFonts w:cs="Arial" w:ascii="Arial" w:hAnsi="Arial"/>
          <w:sz w:val="22"/>
        </w:rPr>
        <w:t xml:space="preserve">a 575 V cable from each WTG control console provided (by the WTG supplier) at the base of each tower to a 575 V/34.5 kV 1750 KVA pad mount transformer located adjacent to each tower foundation, </w:t>
      </w:r>
    </w:p>
    <w:p>
      <w:pPr>
        <w:pStyle w:val="Normal"/>
        <w:numPr>
          <w:ilvl w:val="0"/>
          <w:numId w:val="7"/>
        </w:numPr>
        <w:tabs>
          <w:tab w:val="clear" w:pos="720"/>
          <w:tab w:val="left" w:pos="1440" w:leader="none"/>
          <w:tab w:val="left" w:pos="2160" w:leader="none"/>
          <w:tab w:val="left" w:pos="2880" w:leader="none"/>
        </w:tabs>
        <w:ind w:hanging="720" w:start="2160" w:end="0"/>
        <w:jc w:val="both"/>
        <w:rPr>
          <w:rFonts w:ascii="Arial" w:hAnsi="Arial" w:cs="Arial"/>
          <w:sz w:val="22"/>
        </w:rPr>
      </w:pPr>
      <w:r>
        <w:rPr>
          <w:rFonts w:cs="Arial" w:ascii="Arial" w:hAnsi="Arial"/>
          <w:sz w:val="22"/>
        </w:rPr>
        <w:t>a 34.5 kV underground cable from each  pad mount transformer to a riser pole located 200-400 feet away from each tower and/or loop-feed configuration from one transformer to the other transformer up to a maximum of six (6) pad mount transformers in a loop connection,</w:t>
      </w:r>
    </w:p>
    <w:p>
      <w:pPr>
        <w:pStyle w:val="Normal"/>
        <w:numPr>
          <w:ilvl w:val="0"/>
          <w:numId w:val="7"/>
        </w:numPr>
        <w:tabs>
          <w:tab w:val="clear" w:pos="720"/>
          <w:tab w:val="left" w:pos="1440" w:leader="none"/>
          <w:tab w:val="left" w:pos="2160" w:leader="none"/>
          <w:tab w:val="left" w:pos="2880" w:leader="none"/>
        </w:tabs>
        <w:ind w:hanging="720" w:start="2160" w:end="0"/>
        <w:jc w:val="both"/>
        <w:rPr>
          <w:rFonts w:ascii="Arial" w:hAnsi="Arial" w:cs="Arial"/>
          <w:sz w:val="22"/>
        </w:rPr>
      </w:pPr>
      <w:r>
        <w:rPr>
          <w:rFonts w:cs="Arial" w:ascii="Arial" w:hAnsi="Arial"/>
          <w:sz w:val="22"/>
        </w:rPr>
        <w:t>A 34.5 kV over head trunk line running more or less parallel to the access road and connecting the various riser poles together to collect the power from each WTG and/or group of up to six (6) WTG’s in loop-connected configuration.  The trunk line begins near the furthermost WTG from the substation and ends near the closest WTG to the substation,</w:t>
      </w:r>
    </w:p>
    <w:p>
      <w:pPr>
        <w:pStyle w:val="Normal"/>
        <w:numPr>
          <w:ilvl w:val="0"/>
          <w:numId w:val="7"/>
        </w:numPr>
        <w:tabs>
          <w:tab w:val="clear" w:pos="720"/>
          <w:tab w:val="left" w:pos="1440" w:leader="none"/>
          <w:tab w:val="left" w:pos="2160" w:leader="none"/>
          <w:tab w:val="left" w:pos="2880" w:leader="none"/>
        </w:tabs>
        <w:ind w:hanging="720" w:start="2160" w:end="0"/>
        <w:jc w:val="both"/>
        <w:rPr>
          <w:rFonts w:ascii="Arial" w:hAnsi="Arial" w:cs="Arial"/>
          <w:sz w:val="22"/>
        </w:rPr>
      </w:pPr>
      <w:r>
        <w:rPr>
          <w:rFonts w:cs="Arial" w:ascii="Arial" w:hAnsi="Arial"/>
          <w:sz w:val="22"/>
        </w:rPr>
        <w:t>A 34.5 kV under ground cable from the termination point of the overhead line running to the substation.</w:t>
      </w:r>
    </w:p>
    <w:p>
      <w:pPr>
        <w:pStyle w:val="Normal"/>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3"/>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Design, procure and construct a fiber optic communication network for the SCADA system provided by the WTG supplier.  The fiber optic system will run in the same trenches and on the same over head poles as the electrical collection system.</w:t>
      </w:r>
    </w:p>
    <w:p>
      <w:pPr>
        <w:pStyle w:val="Normal"/>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3"/>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Design, procure and construct a 34.5/138 kV substation.  The substation will be designed to initially operate half of the substation equipment at 69kV until utility is completed with the North McCamey-West Yates transmission line upgrade from 69kV to 138kV.</w:t>
      </w:r>
    </w:p>
    <w:p>
      <w:pPr>
        <w:pStyle w:val="Normal"/>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3"/>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Design, procurement and construction of a 138 kV High Voltage Transmission Line (HVTL) from the substation running approximately 7 miles to the second interconnection at the existing utility transmission line.  The HVTL will be designed for the full capacity of the expanded facility.  Second interconnection will be energized initially at 69kV until utility has completed the North McCamey-West Yates transmission line upgrade from 69kV to 138kV.</w:t>
      </w:r>
    </w:p>
    <w:p>
      <w:pPr>
        <w:pStyle w:val="Normal"/>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r>
    </w:p>
    <w:p>
      <w:pPr>
        <w:pStyle w:val="Normal"/>
        <w:numPr>
          <w:ilvl w:val="0"/>
          <w:numId w:val="3"/>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Design, procure and construct a 138 kV Interconnection to the existing utility transmission line owned by AEP.</w:t>
      </w:r>
    </w:p>
    <w:p>
      <w:pPr>
        <w:pStyle w:val="Normal"/>
        <w:tabs>
          <w:tab w:val="clear" w:pos="720"/>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numPr>
          <w:ilvl w:val="0"/>
          <w:numId w:val="3"/>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Installation of one temporary 65 meter meteorological tower on a designated pad site, and subsequent removal of the tower just prior to installation of the WTG for that site.</w:t>
      </w:r>
      <w:r>
        <w:br w:type="page"/>
      </w:r>
    </w:p>
    <w:p>
      <w:pPr>
        <w:pStyle w:val="Normal"/>
        <w:tabs>
          <w:tab w:val="clear" w:pos="720"/>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Enron Wind Commercial Americas’ Project Execution Department is responsible for all other aspects of the project, including but not limited to:</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1"/>
        <w:numPr>
          <w:ilvl w:val="0"/>
          <w:numId w:val="2"/>
        </w:numPr>
        <w:tabs>
          <w:tab w:val="left" w:pos="-1440" w:leader="none"/>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Public relations</w:t>
      </w:r>
    </w:p>
    <w:p>
      <w:pPr>
        <w:pStyle w:val="1"/>
        <w:numPr>
          <w:ilvl w:val="0"/>
          <w:numId w:val="0"/>
        </w:numPr>
        <w:tabs>
          <w:tab w:val="left" w:pos="-1440" w:leader="none"/>
          <w:tab w:val="left" w:pos="720" w:leader="none"/>
          <w:tab w:val="left" w:pos="1440" w:leader="none"/>
          <w:tab w:val="left" w:pos="2160" w:leader="none"/>
          <w:tab w:val="left" w:pos="2880" w:leader="none"/>
        </w:tabs>
        <w:ind w:hanging="0" w:start="720" w:end="0"/>
        <w:jc w:val="both"/>
        <w:rPr>
          <w:rFonts w:ascii="Arial" w:hAnsi="Arial" w:cs="Arial"/>
          <w:sz w:val="22"/>
        </w:rPr>
      </w:pPr>
      <w:r>
        <w:rPr>
          <w:rFonts w:cs="Arial" w:ascii="Arial" w:hAnsi="Arial"/>
          <w:sz w:val="22"/>
        </w:rPr>
      </w:r>
    </w:p>
    <w:p>
      <w:pPr>
        <w:pStyle w:val="1"/>
        <w:numPr>
          <w:ilvl w:val="0"/>
          <w:numId w:val="2"/>
        </w:numPr>
        <w:tabs>
          <w:tab w:val="left" w:pos="-1440" w:leader="none"/>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Land acquisition</w:t>
      </w:r>
    </w:p>
    <w:p>
      <w:pPr>
        <w:pStyle w:val="1"/>
        <w:numPr>
          <w:ilvl w:val="0"/>
          <w:numId w:val="0"/>
        </w:numPr>
        <w:tabs>
          <w:tab w:val="left" w:pos="-1440" w:leader="none"/>
          <w:tab w:val="left" w:pos="720" w:leader="none"/>
          <w:tab w:val="left" w:pos="1440" w:leader="none"/>
          <w:tab w:val="left" w:pos="2160" w:leader="none"/>
          <w:tab w:val="left" w:pos="2880" w:leader="none"/>
        </w:tabs>
        <w:ind w:hanging="0" w:start="720" w:end="0"/>
        <w:jc w:val="both"/>
        <w:rPr>
          <w:rFonts w:ascii="Arial" w:hAnsi="Arial" w:cs="Arial"/>
          <w:sz w:val="22"/>
        </w:rPr>
      </w:pPr>
      <w:r>
        <w:rPr>
          <w:rFonts w:cs="Arial" w:ascii="Arial" w:hAnsi="Arial"/>
          <w:sz w:val="22"/>
        </w:rPr>
      </w:r>
    </w:p>
    <w:p>
      <w:pPr>
        <w:pStyle w:val="1"/>
        <w:numPr>
          <w:ilvl w:val="0"/>
          <w:numId w:val="2"/>
        </w:numPr>
        <w:tabs>
          <w:tab w:val="left" w:pos="-1440" w:leader="none"/>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 xml:space="preserve">Permitting to include development of permitting plan and the securing of all required permits i.e.,  environmental, state, county, Corps of Engr., FAA, etc. </w:t>
      </w:r>
    </w:p>
    <w:p>
      <w:pPr>
        <w:pStyle w:val="1"/>
        <w:numPr>
          <w:ilvl w:val="0"/>
          <w:numId w:val="0"/>
        </w:numPr>
        <w:tabs>
          <w:tab w:val="left" w:pos="-1440" w:leader="none"/>
          <w:tab w:val="left" w:pos="720" w:leader="none"/>
          <w:tab w:val="left" w:pos="1440" w:leader="none"/>
          <w:tab w:val="left" w:pos="2160" w:leader="none"/>
          <w:tab w:val="left" w:pos="2880" w:leader="none"/>
        </w:tabs>
        <w:ind w:hanging="0" w:start="720" w:end="0"/>
        <w:jc w:val="both"/>
        <w:rPr>
          <w:rFonts w:ascii="Arial" w:hAnsi="Arial" w:cs="Arial"/>
          <w:sz w:val="22"/>
        </w:rPr>
      </w:pPr>
      <w:r>
        <w:rPr>
          <w:rFonts w:cs="Arial" w:ascii="Arial" w:hAnsi="Arial"/>
          <w:sz w:val="22"/>
        </w:rPr>
      </w:r>
    </w:p>
    <w:p>
      <w:pPr>
        <w:pStyle w:val="1"/>
        <w:numPr>
          <w:ilvl w:val="0"/>
          <w:numId w:val="2"/>
        </w:numPr>
        <w:tabs>
          <w:tab w:val="left" w:pos="-1440" w:leader="none"/>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Securing leases, easements, purchases of property as required</w:t>
      </w:r>
    </w:p>
    <w:p>
      <w:pPr>
        <w:pStyle w:val="1"/>
        <w:numPr>
          <w:ilvl w:val="0"/>
          <w:numId w:val="0"/>
        </w:numPr>
        <w:tabs>
          <w:tab w:val="left" w:pos="-1440" w:leader="none"/>
          <w:tab w:val="left" w:pos="720" w:leader="none"/>
          <w:tab w:val="left" w:pos="1440" w:leader="none"/>
          <w:tab w:val="left" w:pos="2160" w:leader="none"/>
          <w:tab w:val="left" w:pos="2880" w:leader="none"/>
        </w:tabs>
        <w:ind w:hanging="0" w:start="720" w:end="0"/>
        <w:jc w:val="both"/>
        <w:rPr>
          <w:rFonts w:ascii="Arial" w:hAnsi="Arial" w:cs="Arial"/>
          <w:sz w:val="22"/>
        </w:rPr>
      </w:pPr>
      <w:r>
        <w:rPr>
          <w:rFonts w:cs="Arial" w:ascii="Arial" w:hAnsi="Arial"/>
          <w:sz w:val="22"/>
        </w:rPr>
      </w:r>
    </w:p>
    <w:p>
      <w:pPr>
        <w:pStyle w:val="1"/>
        <w:numPr>
          <w:ilvl w:val="0"/>
          <w:numId w:val="2"/>
        </w:numPr>
        <w:tabs>
          <w:tab w:val="left" w:pos="-1440" w:leader="none"/>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Retaining and managing consultants required to support permit acquisition</w:t>
      </w:r>
    </w:p>
    <w:p>
      <w:pPr>
        <w:pStyle w:val="1"/>
        <w:numPr>
          <w:ilvl w:val="0"/>
          <w:numId w:val="0"/>
        </w:numPr>
        <w:tabs>
          <w:tab w:val="left" w:pos="-1440" w:leader="none"/>
          <w:tab w:val="left" w:pos="720" w:leader="none"/>
          <w:tab w:val="left" w:pos="1440" w:leader="none"/>
          <w:tab w:val="left" w:pos="2160" w:leader="none"/>
          <w:tab w:val="left" w:pos="2880" w:leader="none"/>
        </w:tabs>
        <w:ind w:hanging="0" w:start="720" w:end="0"/>
        <w:jc w:val="both"/>
        <w:rPr>
          <w:rFonts w:ascii="Arial" w:hAnsi="Arial" w:cs="Arial"/>
          <w:sz w:val="22"/>
        </w:rPr>
      </w:pPr>
      <w:r>
        <w:rPr>
          <w:rFonts w:cs="Arial" w:ascii="Arial" w:hAnsi="Arial"/>
          <w:sz w:val="22"/>
        </w:rPr>
      </w:r>
    </w:p>
    <w:p>
      <w:pPr>
        <w:pStyle w:val="1"/>
        <w:numPr>
          <w:ilvl w:val="0"/>
          <w:numId w:val="2"/>
        </w:numPr>
        <w:tabs>
          <w:tab w:val="left" w:pos="-1440" w:leader="none"/>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Layout and staking of WTG final locations and ALTA survey after construction is complete.</w:t>
      </w:r>
    </w:p>
    <w:p>
      <w:pPr>
        <w:pStyle w:val="1"/>
        <w:numPr>
          <w:ilvl w:val="0"/>
          <w:numId w:val="0"/>
        </w:numPr>
        <w:tabs>
          <w:tab w:val="left" w:pos="-1440" w:leader="none"/>
          <w:tab w:val="left" w:pos="720" w:leader="none"/>
          <w:tab w:val="left" w:pos="1440" w:leader="none"/>
          <w:tab w:val="left" w:pos="2160" w:leader="none"/>
          <w:tab w:val="left" w:pos="2880" w:leader="none"/>
        </w:tabs>
        <w:ind w:hanging="0" w:start="720" w:end="0"/>
        <w:jc w:val="both"/>
        <w:rPr>
          <w:rFonts w:ascii="Arial" w:hAnsi="Arial" w:cs="Arial"/>
          <w:sz w:val="22"/>
        </w:rPr>
      </w:pPr>
      <w:r>
        <w:rPr>
          <w:rFonts w:cs="Arial" w:ascii="Arial" w:hAnsi="Arial"/>
          <w:sz w:val="22"/>
        </w:rPr>
      </w:r>
    </w:p>
    <w:p>
      <w:pPr>
        <w:pStyle w:val="Normal"/>
        <w:numPr>
          <w:ilvl w:val="0"/>
          <w:numId w:val="2"/>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Negotiation, management and close out of the Power Purchase Agreement, Interconnection Agreement, EPC Agreement, WTG Supply Agreement, etc.</w:t>
      </w:r>
    </w:p>
    <w:p>
      <w:pPr>
        <w:pStyle w:val="Normal"/>
        <w:tabs>
          <w:tab w:val="clear" w:pos="720"/>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Heading7"/>
        <w:ind w:hanging="0" w:start="0"/>
        <w:rPr>
          <w:rFonts w:ascii="Arial" w:hAnsi="Arial" w:cs="Arial"/>
          <w:sz w:val="22"/>
        </w:rPr>
      </w:pPr>
      <w:r>
        <w:rPr>
          <w:rFonts w:cs="Arial" w:ascii="Arial" w:hAnsi="Arial"/>
          <w:sz w:val="22"/>
        </w:rPr>
        <w:t>III.  PROJECT ORGANIZATION</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1"/>
        <w:numPr>
          <w:ilvl w:val="0"/>
          <w:numId w:val="0"/>
        </w:numPr>
        <w:tabs>
          <w:tab w:val="left" w:pos="-1440" w:leader="none"/>
          <w:tab w:val="left" w:pos="720" w:leader="none"/>
          <w:tab w:val="left" w:pos="1440" w:leader="none"/>
          <w:tab w:val="left" w:pos="2160" w:leader="none"/>
          <w:tab w:val="left" w:pos="2880" w:leader="none"/>
        </w:tabs>
        <w:ind w:hanging="720" w:start="720" w:end="0"/>
        <w:jc w:val="both"/>
        <w:rPr>
          <w:rFonts w:ascii="Arial" w:hAnsi="Arial" w:cs="Arial"/>
          <w:sz w:val="22"/>
        </w:rPr>
      </w:pPr>
      <w:r>
        <w:rPr>
          <w:rFonts w:cs="Arial" w:ascii="Arial" w:hAnsi="Arial"/>
          <w:sz w:val="22"/>
        </w:rPr>
        <w:t>EWCC’s corporate office construction organization will consist of the following personnel:</w:t>
      </w:r>
    </w:p>
    <w:p>
      <w:pPr>
        <w:pStyle w:val="Normal"/>
        <w:numPr>
          <w:ilvl w:val="0"/>
          <w:numId w:val="6"/>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Construction Project Manager: responsible for coordinating with the Commercial Execution Project Manager and for assuring the EWCC scope of work is performed on time, within budget and in accordance with the contractual commitments. The Site Manager reports to the Director of Construction in the corporate offices.</w:t>
      </w:r>
    </w:p>
    <w:p>
      <w:pPr>
        <w:pStyle w:val="Normal"/>
        <w:numPr>
          <w:ilvl w:val="0"/>
          <w:numId w:val="6"/>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Administrative Assistant: responsible for provision of office administrative support services to the team members.</w:t>
      </w:r>
    </w:p>
    <w:p>
      <w:pPr>
        <w:pStyle w:val="Normal"/>
        <w:numPr>
          <w:ilvl w:val="0"/>
          <w:numId w:val="6"/>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EWCC will direct the engineering design of the civil site work and foundations.</w:t>
      </w:r>
    </w:p>
    <w:p>
      <w:pPr>
        <w:pStyle w:val="Normal"/>
        <w:numPr>
          <w:ilvl w:val="0"/>
          <w:numId w:val="6"/>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Power Systems Manager, Enron Wind Energy Services (EWES): responsible for writing power systems specifications, issuing consulting agreement for power engineering design works on lines and substations, performing miscellaneous design work on an ad hoc basis, supervising the work of contracted design engineering firms to assure a quality product, reviewing submittals, and providing technical support to the field staff as needed.</w:t>
      </w:r>
    </w:p>
    <w:p>
      <w:pPr>
        <w:pStyle w:val="Normal"/>
        <w:numPr>
          <w:ilvl w:val="0"/>
          <w:numId w:val="6"/>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Contracts/Purchasing Manager: responsible for obtaining bids and/or proposals from potential subcontractors and suppliers, reviewing the commercial terms of the bids/proposals. Obtaining technical review of the bids/proposals from the other team members, and issuance of the contract.</w:t>
      </w:r>
    </w:p>
    <w:p>
      <w:pPr>
        <w:pStyle w:val="Normal"/>
        <w:numPr>
          <w:ilvl w:val="0"/>
          <w:numId w:val="6"/>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Controls Manager: responsible for project schedule and cost control.</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EWCC’s project site organization will consist of the following personnel:</w:t>
      </w:r>
    </w:p>
    <w:p>
      <w:pPr>
        <w:pStyle w:val="1"/>
        <w:numPr>
          <w:ilvl w:val="0"/>
          <w:numId w:val="12"/>
        </w:numPr>
        <w:tabs>
          <w:tab w:val="left" w:pos="-144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Construction Site Manager: responsible for managing all site activities and assuring the site construction work is performed safely, on time, within budget, and within contractual requirements.  The Site Manager reports functionally to the Construction Project Manager and administratively to the Director of Construction in the corporate offices.</w:t>
      </w:r>
    </w:p>
    <w:p>
      <w:pPr>
        <w:pStyle w:val="1"/>
        <w:numPr>
          <w:ilvl w:val="0"/>
          <w:numId w:val="12"/>
        </w:numPr>
        <w:tabs>
          <w:tab w:val="left" w:pos="-144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Civil Superintendent: responsible for supervising execution of the site civil construction work performed by subcontractors and reports directly to the Site Construction Manager.</w:t>
      </w:r>
    </w:p>
    <w:p>
      <w:pPr>
        <w:pStyle w:val="1"/>
        <w:numPr>
          <w:ilvl w:val="0"/>
          <w:numId w:val="12"/>
        </w:numPr>
        <w:tabs>
          <w:tab w:val="left" w:pos="-144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Electrical Superintendent: responsible for supervising execution of the site electrical construction work performed by subcontractors and reports directly to the Site Construction Manager.</w:t>
      </w:r>
    </w:p>
    <w:p>
      <w:pPr>
        <w:pStyle w:val="1"/>
        <w:numPr>
          <w:ilvl w:val="0"/>
          <w:numId w:val="12"/>
        </w:numPr>
        <w:tabs>
          <w:tab w:val="left" w:pos="-144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Mechanical Superintendent: responsible for supervising execution of the site mechanical construction work performed by subcontractors and reports directly to the Site Construction Manager.</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t>IV.</w:t>
        <w:tab/>
        <w:t>PROJECT SCHEDULE</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BodyText"/>
        <w:rPr>
          <w:rFonts w:ascii="Arial" w:hAnsi="Arial" w:cs="Arial"/>
          <w:sz w:val="22"/>
        </w:rPr>
      </w:pPr>
      <w:r>
        <w:rPr>
          <w:rFonts w:cs="Arial" w:ascii="Arial" w:hAnsi="Arial"/>
          <w:sz w:val="22"/>
        </w:rPr>
        <w:t xml:space="preserve">Work has already commenced on the project.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In summary:</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1"/>
        <w:numPr>
          <w:ilvl w:val="0"/>
          <w:numId w:val="8"/>
        </w:numPr>
        <w:tabs>
          <w:tab w:val="left" w:pos="-144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Engineering and Procurement are complete, with the exception of continuing to provide support to the site staff on an as needed basis.</w:t>
      </w:r>
    </w:p>
    <w:p>
      <w:pPr>
        <w:pStyle w:val="1"/>
        <w:numPr>
          <w:ilvl w:val="0"/>
          <w:numId w:val="8"/>
        </w:numPr>
        <w:tabs>
          <w:tab w:val="left" w:pos="-144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 xml:space="preserve">Site construction work was initiated on 23 October 2000.  All civil and electrical construction will be complete by the end of January 2001.  Mechanical installation of the WTGs will commence on August 1, 2001 and is expected to be completed between November 1, 2001 and April 31, 2002. </w:t>
      </w:r>
    </w:p>
    <w:p>
      <w:pPr>
        <w:pStyle w:val="1"/>
        <w:numPr>
          <w:ilvl w:val="0"/>
          <w:numId w:val="8"/>
        </w:numPr>
        <w:tabs>
          <w:tab w:val="left" w:pos="-1440" w:leader="none"/>
          <w:tab w:val="left" w:pos="1440" w:leader="none"/>
          <w:tab w:val="left" w:pos="2160" w:leader="none"/>
          <w:tab w:val="left" w:pos="2880" w:leader="none"/>
        </w:tabs>
        <w:ind w:hanging="720" w:start="1440" w:end="0"/>
        <w:jc w:val="both"/>
        <w:rPr>
          <w:rFonts w:ascii="Arial" w:hAnsi="Arial" w:cs="Arial"/>
          <w:b/>
          <w:sz w:val="22"/>
        </w:rPr>
      </w:pPr>
      <w:r>
        <w:rPr>
          <w:rFonts w:cs="Arial" w:ascii="Arial" w:hAnsi="Arial"/>
          <w:sz w:val="22"/>
        </w:rPr>
        <w:t>WTG commissioning and power up will be executed in parallel with installation and the last WTG will start generating power 4 days after mechanical installation is completed.</w:t>
      </w:r>
    </w:p>
    <w:p>
      <w:pPr>
        <w:pStyle w:val="1"/>
        <w:numPr>
          <w:ilvl w:val="0"/>
          <w:numId w:val="0"/>
        </w:numPr>
        <w:tabs>
          <w:tab w:val="left" w:pos="-1440" w:leader="none"/>
          <w:tab w:val="left" w:pos="720" w:leader="none"/>
          <w:tab w:val="left" w:pos="1440" w:leader="none"/>
          <w:tab w:val="left" w:pos="2160" w:leader="none"/>
          <w:tab w:val="left" w:pos="2880" w:leader="none"/>
        </w:tabs>
        <w:ind w:hanging="0" w:start="0"/>
        <w:jc w:val="both"/>
        <w:rPr>
          <w:rFonts w:ascii="Arial" w:hAnsi="Arial" w:cs="Arial"/>
          <w:b/>
          <w:sz w:val="22"/>
        </w:rPr>
      </w:pPr>
      <w:r>
        <w:rPr>
          <w:rFonts w:cs="Arial" w:ascii="Arial" w:hAnsi="Arial"/>
          <w:b/>
          <w:sz w:val="22"/>
        </w:rPr>
      </w:r>
    </w:p>
    <w:p>
      <w:pPr>
        <w:pStyle w:val="1"/>
        <w:numPr>
          <w:ilvl w:val="0"/>
          <w:numId w:val="0"/>
        </w:numPr>
        <w:tabs>
          <w:tab w:val="left" w:pos="-1440" w:leader="none"/>
          <w:tab w:val="left" w:pos="720" w:leader="none"/>
          <w:tab w:val="left" w:pos="1440" w:leader="none"/>
          <w:tab w:val="left" w:pos="2160" w:leader="none"/>
          <w:tab w:val="left" w:pos="2880" w:leader="none"/>
        </w:tabs>
        <w:ind w:hanging="720" w:start="720" w:end="0"/>
        <w:jc w:val="both"/>
        <w:rPr>
          <w:rFonts w:ascii="Arial" w:hAnsi="Arial" w:cs="Arial"/>
          <w:b/>
          <w:sz w:val="22"/>
        </w:rPr>
      </w:pPr>
      <w:r>
        <w:rPr>
          <w:rFonts w:cs="Arial" w:ascii="Arial" w:hAnsi="Arial"/>
          <w:b/>
          <w:sz w:val="22"/>
        </w:rPr>
        <w:t>V.</w:t>
        <w:tab/>
        <w:t>CONTRACTING AND PROCUREMENT PLAN</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 xml:space="preserve">EWCC is responsible for construction of the project.  This is accomplished by awarding the work to subcontractors and supervising their performance of that work, or by using in-house resources to perform the work.  </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EWCC is responsible for procuring all balance of plant equipment and materials including special tooling for WTG assembly and erection.  This is achieved by either including these items in the sub-contractors’ scopes of work (for items of equipment or material that are not long lead delivery items) or by purchasing direct and free issuing to the sub-contractor.  The balance of plant equipment and materials procurement and contracting work is carried out with strict compliance to Plans and Specifications.</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 xml:space="preserve">EWCC carefully selects its sub-contractors to perform the various scopes of work.  Bidders are pre-qualified by submittal of qualifications, personal knowledge of our staff of the subcontractor’s qualifications, or by their having performed satisfactorily on previous projects.  Small local contractors, who are marginally qualified, are considered based on local government requirements for tax abatement programs and provided the cost of increased management and supervision cost is not severe. </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 xml:space="preserve">All bidding for equipment supply and construction subcontracts is performed on competitive basis, unless the project schedule does not permit time to accomplish this and special authorization is obtained from Commercial Execution to place sole source contracts. </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The Enron Wind Field Operations Contracting Department provides the following services to EWCC:</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Preparation, Assembly and Issuance of the Bid Solicitation Packages, these packages include, but are not limited to, the following:</w:t>
      </w:r>
    </w:p>
    <w:p>
      <w:pPr>
        <w:pStyle w:val="Normal"/>
        <w:numPr>
          <w:ilvl w:val="0"/>
          <w:numId w:val="13"/>
        </w:numPr>
        <w:tabs>
          <w:tab w:val="clear" w:pos="720"/>
          <w:tab w:val="left" w:pos="2160" w:leader="none"/>
          <w:tab w:val="left" w:pos="2880" w:leader="none"/>
        </w:tabs>
        <w:ind w:hanging="720" w:start="2160" w:end="0"/>
        <w:jc w:val="both"/>
        <w:rPr>
          <w:rFonts w:ascii="Arial" w:hAnsi="Arial" w:cs="Arial"/>
          <w:sz w:val="22"/>
        </w:rPr>
      </w:pPr>
      <w:r>
        <w:rPr>
          <w:rFonts w:cs="Arial" w:ascii="Arial" w:hAnsi="Arial"/>
          <w:sz w:val="22"/>
        </w:rPr>
        <w:t>Work Scopes, Commercial and Technical Specifications prepared by the Project Engineer or the Design Engineer.</w:t>
      </w:r>
    </w:p>
    <w:p>
      <w:pPr>
        <w:pStyle w:val="Normal"/>
        <w:numPr>
          <w:ilvl w:val="0"/>
          <w:numId w:val="13"/>
        </w:numPr>
        <w:tabs>
          <w:tab w:val="clear" w:pos="720"/>
          <w:tab w:val="left" w:pos="2160" w:leader="none"/>
          <w:tab w:val="left" w:pos="2880" w:leader="none"/>
        </w:tabs>
        <w:ind w:hanging="720" w:start="2160" w:end="0"/>
        <w:jc w:val="both"/>
        <w:rPr>
          <w:rFonts w:ascii="Arial" w:hAnsi="Arial" w:cs="Arial"/>
          <w:sz w:val="22"/>
        </w:rPr>
      </w:pPr>
      <w:r>
        <w:rPr>
          <w:rFonts w:cs="Arial" w:ascii="Arial" w:hAnsi="Arial"/>
          <w:sz w:val="22"/>
        </w:rPr>
        <w:t>General Contract Terms and Conditions</w:t>
      </w:r>
    </w:p>
    <w:p>
      <w:pPr>
        <w:pStyle w:val="Normal"/>
        <w:numPr>
          <w:ilvl w:val="0"/>
          <w:numId w:val="13"/>
        </w:numPr>
        <w:tabs>
          <w:tab w:val="clear" w:pos="720"/>
          <w:tab w:val="left" w:pos="2160" w:leader="none"/>
          <w:tab w:val="left" w:pos="2880" w:leader="none"/>
        </w:tabs>
        <w:ind w:hanging="720" w:start="2160" w:end="0"/>
        <w:jc w:val="both"/>
        <w:rPr>
          <w:rFonts w:ascii="Arial" w:hAnsi="Arial" w:cs="Arial"/>
          <w:sz w:val="22"/>
        </w:rPr>
      </w:pPr>
      <w:r>
        <w:rPr>
          <w:rFonts w:cs="Arial" w:ascii="Arial" w:hAnsi="Arial"/>
          <w:sz w:val="22"/>
        </w:rPr>
        <w:t>Submittal Requirements</w:t>
      </w:r>
    </w:p>
    <w:p>
      <w:pPr>
        <w:pStyle w:val="Normal"/>
        <w:numPr>
          <w:ilvl w:val="0"/>
          <w:numId w:val="13"/>
        </w:numPr>
        <w:tabs>
          <w:tab w:val="clear" w:pos="720"/>
          <w:tab w:val="left" w:pos="2160" w:leader="none"/>
          <w:tab w:val="left" w:pos="2880" w:leader="none"/>
        </w:tabs>
        <w:ind w:hanging="720" w:start="2160" w:end="0"/>
        <w:jc w:val="both"/>
        <w:rPr>
          <w:rFonts w:ascii="Arial" w:hAnsi="Arial" w:cs="Arial"/>
          <w:sz w:val="22"/>
        </w:rPr>
      </w:pPr>
      <w:r>
        <w:rPr>
          <w:rFonts w:cs="Arial" w:ascii="Arial" w:hAnsi="Arial"/>
          <w:sz w:val="22"/>
        </w:rPr>
        <w:t>Construction Schedule prepared by the Controls Manager</w:t>
      </w:r>
    </w:p>
    <w:p>
      <w:pPr>
        <w:pStyle w:val="Normal"/>
        <w:numPr>
          <w:ilvl w:val="0"/>
          <w:numId w:val="13"/>
        </w:numPr>
        <w:tabs>
          <w:tab w:val="clear" w:pos="720"/>
          <w:tab w:val="left" w:pos="2160" w:leader="none"/>
          <w:tab w:val="left" w:pos="2880" w:leader="none"/>
        </w:tabs>
        <w:ind w:hanging="720" w:start="2160" w:end="0"/>
        <w:jc w:val="both"/>
        <w:rPr>
          <w:rFonts w:ascii="Arial" w:hAnsi="Arial" w:cs="Arial"/>
          <w:sz w:val="22"/>
        </w:rPr>
      </w:pPr>
      <w:r>
        <w:rPr>
          <w:rFonts w:cs="Arial" w:ascii="Arial" w:hAnsi="Arial"/>
          <w:sz w:val="22"/>
        </w:rPr>
        <w:t>Sample Contract Control Documents</w:t>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Bid Receipt and Commercial Evaluation</w:t>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Subcontractor/Vendor Interview and Proposals Revision (if required)</w:t>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Final Selection in concert with the EWCC Project Manager</w:t>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Issue Notice of Award</w:t>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Contract preparation and Issuance</w:t>
      </w:r>
    </w:p>
    <w:p>
      <w:pPr>
        <w:pStyle w:val="Normal"/>
        <w:numPr>
          <w:ilvl w:val="0"/>
          <w:numId w:val="10"/>
        </w:numPr>
        <w:tabs>
          <w:tab w:val="left" w:pos="720" w:leader="none"/>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Commercial and contractual support to the project team during execution of the contract scope of work.</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 xml:space="preserve">Typically, EWCC issues separate bid packages for each component of the Project, i.e., site grading and roads, foundations, collection system, substation, HVTL, etc., to give itself maximum flexibility in selection of qualified contractors.  Since consolidation under a single contractor of one or more bid packages is often preferable to minimize interfaces between contractors, and lower site over head costs, qualified bidders are given an opportunity to bid more than one package.  </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BodyText2"/>
        <w:rPr>
          <w:rFonts w:ascii="Arial" w:hAnsi="Arial" w:cs="Arial"/>
          <w:sz w:val="22"/>
        </w:rPr>
      </w:pPr>
      <w:r>
        <w:rPr>
          <w:rFonts w:cs="Arial" w:ascii="Arial" w:hAnsi="Arial"/>
          <w:sz w:val="22"/>
        </w:rPr>
        <w:t>For all projects, EWCC’s initial effort focuses on identification and procurement of long lead equipment items, followed by completion of engineering and issuance of construction subcontracts.</w:t>
      </w:r>
    </w:p>
    <w:p>
      <w:pPr>
        <w:pStyle w:val="BodyText2"/>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center"/>
              <w:rPr>
                <w:rFonts w:ascii="Arial" w:hAnsi="Arial" w:cs="Arial"/>
                <w:b/>
                <w:sz w:val="22"/>
              </w:rPr>
            </w:pPr>
            <w:r>
              <w:rPr>
                <w:rFonts w:cs="Arial" w:ascii="Arial" w:hAnsi="Arial"/>
                <w:b/>
                <w:sz w:val="22"/>
              </w:rPr>
              <w:t>Equipment</w:t>
            </w:r>
          </w:p>
        </w:tc>
        <w:tc>
          <w:tcPr>
            <w:tcW w:w="3420" w:type="dxa"/>
            <w:tcBorders>
              <w:top w:val="single" w:sz="4" w:space="0" w:color="000000"/>
              <w:start w:val="single" w:sz="4" w:space="0" w:color="000000"/>
              <w:bottom w:val="single" w:sz="4" w:space="0" w:color="000000"/>
              <w:end w:val="single" w:sz="4" w:space="0" w:color="000000"/>
            </w:tcBorders>
          </w:tcPr>
          <w:p>
            <w:pPr>
              <w:pStyle w:val="Heading9"/>
              <w:rPr>
                <w:rFonts w:ascii="Arial" w:hAnsi="Arial" w:cs="Arial"/>
                <w:sz w:val="22"/>
              </w:rPr>
            </w:pPr>
            <w:r>
              <w:rPr>
                <w:rFonts w:cs="Arial" w:ascii="Arial" w:hAnsi="Arial"/>
                <w:sz w:val="22"/>
              </w:rPr>
              <w:t>Supplier</w:t>
            </w:r>
          </w:p>
          <w:p>
            <w:pPr>
              <w:pStyle w:val="Normal"/>
              <w:tabs>
                <w:tab w:val="left" w:pos="720" w:leader="none"/>
                <w:tab w:val="left" w:pos="1440" w:leader="none"/>
                <w:tab w:val="left" w:pos="2160" w:leader="none"/>
                <w:tab w:val="left" w:pos="2880" w:leader="none"/>
              </w:tabs>
              <w:ind w:end="-90"/>
              <w:jc w:val="center"/>
              <w:rPr>
                <w:rFonts w:ascii="Arial" w:hAnsi="Arial" w:cs="Arial"/>
                <w:b/>
                <w:sz w:val="22"/>
              </w:rPr>
            </w:pPr>
            <w:r>
              <w:rPr>
                <w:rFonts w:cs="Arial" w:ascii="Arial" w:hAnsi="Arial"/>
                <w:b/>
                <w:sz w:val="22"/>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Civil Engineering Design</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Patrick &amp; Henderson</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Electrical Engineering Design</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by Power Systems Dept.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Substation Inspection &amp; Testing</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by Power Systems Dept.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Primary Transformer</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TBD</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Pad Mount Transformers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trike/>
                <w:sz w:val="22"/>
              </w:rPr>
            </w:pPr>
            <w:r>
              <w:rPr>
                <w:rFonts w:cs="Arial" w:ascii="Arial" w:hAnsi="Arial"/>
                <w:sz w:val="22"/>
              </w:rPr>
              <w:t>TBD</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Miscellaneous Substation Materials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trike/>
                <w:sz w:val="22"/>
              </w:rPr>
            </w:pPr>
            <w:r>
              <w:rPr>
                <w:rFonts w:cs="Arial" w:ascii="Arial" w:hAnsi="Arial"/>
                <w:sz w:val="22"/>
              </w:rPr>
              <w:t>TBD</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Circuit Breakers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Hamby - Young</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Substation Control House</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Abbott Building Company</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Relay Panels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Clark Control Systems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Load Break Elbows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Hamby - Young</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Substation Batteries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Custom Power, Inc</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Substation Testing</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ABB Power T&amp;D Services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 xml:space="preserve">Ground Well Drilling </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West Texas Water Well</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Crane Supply</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TBD</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Civil Construction Services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TBD</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Electrical Construction Services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TBD</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WTG installation services</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EWC Field Operations Group</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WTG Commissioning &amp; Start Up</w:t>
            </w:r>
          </w:p>
        </w:tc>
        <w:tc>
          <w:tcPr>
            <w:tcW w:w="34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t>EWC Field Operations Group Technical Services Department</w:t>
            </w:r>
          </w:p>
        </w:tc>
      </w:tr>
    </w:tbl>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r>
    </w:p>
    <w:p>
      <w:pPr>
        <w:pStyle w:val="BodyText2"/>
        <w:rPr>
          <w:rFonts w:ascii="Arial" w:hAnsi="Arial" w:cs="Arial"/>
          <w:sz w:val="22"/>
        </w:rPr>
      </w:pPr>
      <w:r>
        <w:rPr>
          <w:rFonts w:cs="Arial" w:ascii="Arial" w:hAnsi="Arial"/>
          <w:sz w:val="22"/>
        </w:rPr>
        <w:t>TBD – To Be Determined</w:t>
      </w:r>
    </w:p>
    <w:p>
      <w:pPr>
        <w:pStyle w:val="Normal"/>
        <w:tabs>
          <w:tab w:val="left" w:pos="720" w:leader="none"/>
          <w:tab w:val="left" w:pos="1440" w:leader="none"/>
          <w:tab w:val="left" w:pos="2160" w:leader="none"/>
          <w:tab w:val="left" w:pos="2880" w:leader="none"/>
        </w:tabs>
        <w:ind w:end="-90"/>
        <w:jc w:val="both"/>
        <w:rPr>
          <w:rFonts w:ascii="Arial" w:hAnsi="Arial" w:cs="Arial"/>
          <w:sz w:val="22"/>
        </w:rPr>
      </w:pPr>
      <w:r>
        <w:rPr>
          <w:rFonts w:cs="Arial" w:ascii="Arial" w:hAnsi="Arial"/>
          <w:sz w:val="22"/>
        </w:rPr>
      </w:r>
      <w:r>
        <w:br w:type="page"/>
      </w:r>
    </w:p>
    <w:p>
      <w:pPr>
        <w:pStyle w:val="Normal"/>
        <w:tabs>
          <w:tab w:val="left" w:pos="720" w:leader="none"/>
          <w:tab w:val="left" w:pos="1440" w:leader="none"/>
          <w:tab w:val="left" w:pos="2160" w:leader="none"/>
          <w:tab w:val="left" w:pos="2880" w:leader="none"/>
        </w:tabs>
        <w:ind w:end="-90"/>
        <w:jc w:val="both"/>
        <w:rPr>
          <w:rFonts w:ascii="Arial" w:hAnsi="Arial" w:cs="Arial"/>
          <w:b/>
          <w:sz w:val="22"/>
        </w:rPr>
      </w:pPr>
      <w:r>
        <w:rPr>
          <w:rFonts w:cs="Arial" w:ascii="Arial" w:hAnsi="Arial"/>
          <w:b/>
          <w:sz w:val="22"/>
        </w:rPr>
        <w:t>VI.</w:t>
        <w:tab/>
        <w:t>BALANCE OF PLANT ENGINEERING PLAN</w:t>
      </w:r>
    </w:p>
    <w:p>
      <w:pPr>
        <w:pStyle w:val="Normal"/>
        <w:tabs>
          <w:tab w:val="left" w:pos="720" w:leader="none"/>
          <w:tab w:val="left" w:pos="1440" w:leader="none"/>
          <w:tab w:val="left" w:pos="2160" w:leader="none"/>
          <w:tab w:val="left" w:pos="2880" w:leader="none"/>
        </w:tabs>
        <w:ind w:end="-9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EWCC is responsible for design of the Balance of Plant (BOP), defined as all portions of the plant other than the Wind Turbine Generator (WTG), the WTG tower, the WTG Control Console, and the electrical and control cabling between the WTG, Control Console, and WTG tower.  Power Systems Department of Enron Wind Energy Services is responsible for the design of the Balance of Plant relative to power systems and communication systems.</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EWCC designs all projects located in the United States to applicable local, state and USA federal standards. The engineering deliverables are required to be in sufficient detail that firm price bids for construction can be solicited and the work executed by subcontractors with minimal difficulty.</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BodyTextIndent2"/>
        <w:tabs>
          <w:tab w:val="left" w:pos="720" w:leader="none"/>
          <w:tab w:val="left" w:pos="1440" w:leader="none"/>
          <w:tab w:val="left" w:pos="2160" w:leader="none"/>
          <w:tab w:val="left" w:pos="2880" w:leader="none"/>
        </w:tabs>
        <w:ind w:start="0" w:end="0"/>
        <w:jc w:val="both"/>
        <w:rPr>
          <w:rFonts w:ascii="Arial" w:hAnsi="Arial" w:cs="Arial"/>
          <w:sz w:val="22"/>
        </w:rPr>
      </w:pPr>
      <w:r>
        <w:rPr>
          <w:rFonts w:cs="Arial" w:ascii="Arial" w:hAnsi="Arial"/>
          <w:sz w:val="22"/>
        </w:rPr>
      </w:r>
    </w:p>
    <w:p>
      <w:pPr>
        <w:pStyle w:val="Style5"/>
        <w:tabs>
          <w:tab w:val="left" w:pos="-1440" w:leader="none"/>
          <w:tab w:val="left" w:pos="720" w:leader="none"/>
          <w:tab w:val="left" w:pos="1440" w:leader="none"/>
          <w:tab w:val="left" w:pos="2160" w:leader="none"/>
          <w:tab w:val="left" w:pos="2880" w:leader="none"/>
        </w:tabs>
        <w:ind w:start="720" w:end="0"/>
        <w:jc w:val="both"/>
        <w:rPr>
          <w:rFonts w:ascii="Arial" w:hAnsi="Arial" w:cs="Arial"/>
          <w:b/>
          <w:sz w:val="22"/>
        </w:rPr>
      </w:pPr>
      <w:r>
        <w:rPr>
          <w:rFonts w:cs="Arial" w:ascii="Arial" w:hAnsi="Arial"/>
          <w:b/>
          <w:sz w:val="22"/>
        </w:rPr>
        <w:t>VII.  CONSTRUCTION PLAN</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1"/>
        <w:numPr>
          <w:ilvl w:val="0"/>
          <w:numId w:val="0"/>
        </w:numPr>
        <w:tabs>
          <w:tab w:val="left" w:pos="-1440" w:leader="none"/>
          <w:tab w:val="left" w:pos="720" w:leader="none"/>
          <w:tab w:val="left" w:pos="1440" w:leader="none"/>
          <w:tab w:val="left" w:pos="2160" w:leader="none"/>
          <w:tab w:val="left" w:pos="2880" w:leader="none"/>
        </w:tabs>
        <w:ind w:hanging="0" w:start="0"/>
        <w:jc w:val="both"/>
        <w:rPr>
          <w:rFonts w:ascii="Arial" w:hAnsi="Arial" w:cs="Arial"/>
          <w:sz w:val="22"/>
        </w:rPr>
      </w:pPr>
      <w:r>
        <w:rPr>
          <w:rFonts w:cs="Arial" w:ascii="Arial" w:hAnsi="Arial"/>
          <w:sz w:val="22"/>
        </w:rPr>
        <w:t>EWCC is responsible for construction of the project.  This is accomplished through Construction Management of third party subcontractors, or resources provided by other Enron Wind Corp (EWC) departments.  Coordination of development and construction activities is essential to the orderly development and construction of wind projects. The Site Construction Manager has overall responsibility for all on-site activities.  The Construction Project Manager is responsible for coordinating the construction activities from project inception through start up and plant acceptance. This role includes reporting status and progress to the EWC Commercial Project Manager, who has responsibility for the overall project execution.</w:t>
      </w:r>
    </w:p>
    <w:p>
      <w:pPr>
        <w:pStyle w:val="1"/>
        <w:numPr>
          <w:ilvl w:val="0"/>
          <w:numId w:val="0"/>
        </w:numPr>
        <w:tabs>
          <w:tab w:val="left" w:pos="-1440" w:leader="none"/>
          <w:tab w:val="left" w:pos="720" w:leader="none"/>
          <w:tab w:val="left" w:pos="1440" w:leader="none"/>
          <w:tab w:val="left" w:pos="2160" w:leader="none"/>
          <w:tab w:val="left" w:pos="2880" w:leader="none"/>
        </w:tabs>
        <w:ind w:hanging="0" w:start="0"/>
        <w:jc w:val="both"/>
        <w:rPr>
          <w:rFonts w:ascii="Arial" w:hAnsi="Arial" w:cs="Arial"/>
          <w:sz w:val="22"/>
        </w:rPr>
      </w:pPr>
      <w:r>
        <w:rPr>
          <w:rFonts w:cs="Arial" w:ascii="Arial" w:hAnsi="Arial"/>
          <w:sz w:val="22"/>
        </w:rPr>
      </w:r>
    </w:p>
    <w:p>
      <w:pPr>
        <w:pStyle w:val="DefaultText"/>
        <w:tabs>
          <w:tab w:val="clear" w:pos="6577"/>
          <w:tab w:val="left" w:pos="720" w:leader="none"/>
          <w:tab w:val="left" w:pos="1360" w:leader="none"/>
          <w:tab w:val="left" w:pos="1440" w:leader="none"/>
          <w:tab w:val="left" w:pos="2160" w:leader="none"/>
          <w:tab w:val="left" w:pos="2664" w:leader="none"/>
          <w:tab w:val="left" w:pos="2880" w:leader="none"/>
          <w:tab w:val="left" w:pos="3969" w:leader="none"/>
          <w:tab w:val="left" w:pos="4535" w:leader="none"/>
          <w:tab w:val="left" w:pos="5273" w:leader="none"/>
          <w:tab w:val="left" w:pos="6236" w:leader="none"/>
          <w:tab w:val="left" w:pos="7087" w:leader="none"/>
          <w:tab w:val="left" w:pos="7881" w:leader="none"/>
          <w:tab w:val="left" w:pos="9185" w:leader="none"/>
          <w:tab w:val="left" w:pos="10489" w:leader="none"/>
          <w:tab w:val="left" w:pos="11793" w:leader="none"/>
          <w:tab w:val="left" w:pos="13097" w:leader="none"/>
          <w:tab w:val="left" w:pos="14401" w:leader="none"/>
        </w:tabs>
        <w:jc w:val="both"/>
        <w:rPr>
          <w:rFonts w:ascii="Arial" w:hAnsi="Arial" w:cs="Arial"/>
          <w:sz w:val="22"/>
        </w:rPr>
      </w:pPr>
      <w:r>
        <w:rPr>
          <w:rFonts w:cs="Arial" w:ascii="Arial" w:hAnsi="Arial"/>
          <w:sz w:val="22"/>
        </w:rPr>
        <w:t>EWCC prepares milestone schedules to build the project and monitors progress daily of the construction activities to insure timely completion.  The Site Construction Manager, through his superintendents, monitors all activities at the site, and reports back to the Construction Project Manager, who in return prepares reports and co-ordinates with the EWC Commercial Project Manager</w:t>
      </w:r>
    </w:p>
    <w:p>
      <w:pPr>
        <w:pStyle w:val="DefaultText"/>
        <w:tabs>
          <w:tab w:val="clear" w:pos="6577"/>
          <w:tab w:val="left" w:pos="720" w:leader="none"/>
          <w:tab w:val="left" w:pos="1360" w:leader="none"/>
          <w:tab w:val="left" w:pos="1440" w:leader="none"/>
          <w:tab w:val="left" w:pos="2160" w:leader="none"/>
          <w:tab w:val="left" w:pos="2664" w:leader="none"/>
          <w:tab w:val="left" w:pos="2880" w:leader="none"/>
          <w:tab w:val="left" w:pos="3969" w:leader="none"/>
          <w:tab w:val="left" w:pos="4535" w:leader="none"/>
          <w:tab w:val="left" w:pos="5273" w:leader="none"/>
          <w:tab w:val="left" w:pos="6236" w:leader="none"/>
          <w:tab w:val="left" w:pos="7087" w:leader="none"/>
          <w:tab w:val="left" w:pos="7881" w:leader="none"/>
          <w:tab w:val="left" w:pos="9185" w:leader="none"/>
          <w:tab w:val="left" w:pos="10489" w:leader="none"/>
          <w:tab w:val="left" w:pos="11793" w:leader="none"/>
          <w:tab w:val="left" w:pos="13097" w:leader="none"/>
          <w:tab w:val="left" w:pos="14401" w:leader="none"/>
        </w:tabs>
        <w:jc w:val="both"/>
        <w:rPr>
          <w:rFonts w:ascii="Arial" w:hAnsi="Arial" w:cs="Arial"/>
          <w:sz w:val="22"/>
        </w:rPr>
      </w:pPr>
      <w:r>
        <w:rPr>
          <w:rFonts w:cs="Arial" w:ascii="Arial" w:hAnsi="Arial"/>
          <w:sz w:val="22"/>
        </w:rPr>
      </w:r>
    </w:p>
    <w:p>
      <w:pPr>
        <w:pStyle w:val="DefaultText"/>
        <w:tabs>
          <w:tab w:val="clear" w:pos="6577"/>
          <w:tab w:val="left" w:pos="720" w:leader="none"/>
          <w:tab w:val="left" w:pos="1360" w:leader="none"/>
          <w:tab w:val="left" w:pos="1440" w:leader="none"/>
          <w:tab w:val="left" w:pos="2160" w:leader="none"/>
          <w:tab w:val="left" w:pos="2664" w:leader="none"/>
          <w:tab w:val="left" w:pos="2880" w:leader="none"/>
          <w:tab w:val="left" w:pos="3969" w:leader="none"/>
          <w:tab w:val="left" w:pos="4535" w:leader="none"/>
          <w:tab w:val="left" w:pos="5273" w:leader="none"/>
          <w:tab w:val="left" w:pos="6236" w:leader="none"/>
          <w:tab w:val="left" w:pos="7087" w:leader="none"/>
          <w:tab w:val="left" w:pos="7881" w:leader="none"/>
          <w:tab w:val="left" w:pos="9185" w:leader="none"/>
          <w:tab w:val="left" w:pos="10489" w:leader="none"/>
          <w:tab w:val="left" w:pos="11793" w:leader="none"/>
          <w:tab w:val="left" w:pos="13097" w:leader="none"/>
          <w:tab w:val="left" w:pos="14401" w:leader="none"/>
        </w:tabs>
        <w:jc w:val="both"/>
        <w:rPr>
          <w:rFonts w:ascii="Arial" w:hAnsi="Arial" w:cs="Arial"/>
          <w:sz w:val="22"/>
        </w:rPr>
      </w:pPr>
      <w:r>
        <w:rPr>
          <w:rFonts w:cs="Arial" w:ascii="Arial" w:hAnsi="Arial"/>
          <w:sz w:val="22"/>
        </w:rPr>
        <w:t xml:space="preserve">During construction, the superintendents of civil, electrical and mechanical scope of work carry out quality assurance procedures to insure that the work is performed in compliance with the requirements established by the design specifications.  Complete payment for the various components of the work is withheld, pending a final inspection, insuring that the work is complete and that quality assurance standards have been met.  </w:t>
      </w:r>
    </w:p>
    <w:p>
      <w:pPr>
        <w:pStyle w:val="DefaultText"/>
        <w:tabs>
          <w:tab w:val="clear" w:pos="6577"/>
          <w:tab w:val="left" w:pos="720" w:leader="none"/>
          <w:tab w:val="left" w:pos="1360" w:leader="none"/>
          <w:tab w:val="left" w:pos="1440" w:leader="none"/>
          <w:tab w:val="left" w:pos="2160" w:leader="none"/>
          <w:tab w:val="left" w:pos="2664" w:leader="none"/>
          <w:tab w:val="left" w:pos="2880" w:leader="none"/>
          <w:tab w:val="left" w:pos="3969" w:leader="none"/>
          <w:tab w:val="left" w:pos="4535" w:leader="none"/>
          <w:tab w:val="left" w:pos="5273" w:leader="none"/>
          <w:tab w:val="left" w:pos="6236" w:leader="none"/>
          <w:tab w:val="left" w:pos="7087" w:leader="none"/>
          <w:tab w:val="left" w:pos="7881" w:leader="none"/>
          <w:tab w:val="left" w:pos="9185" w:leader="none"/>
          <w:tab w:val="left" w:pos="10489" w:leader="none"/>
          <w:tab w:val="left" w:pos="11793" w:leader="none"/>
          <w:tab w:val="left" w:pos="13097" w:leader="none"/>
          <w:tab w:val="left" w:pos="14401" w:leader="none"/>
        </w:tabs>
        <w:jc w:val="both"/>
        <w:rPr>
          <w:rFonts w:ascii="Arial" w:hAnsi="Arial" w:cs="Arial"/>
          <w:sz w:val="22"/>
        </w:rPr>
      </w:pPr>
      <w:r>
        <w:rPr>
          <w:rFonts w:cs="Arial" w:ascii="Arial" w:hAnsi="Arial"/>
          <w:sz w:val="22"/>
        </w:rPr>
      </w:r>
    </w:p>
    <w:p>
      <w:pPr>
        <w:pStyle w:val="DefaultText"/>
        <w:tabs>
          <w:tab w:val="clear" w:pos="6577"/>
          <w:tab w:val="left" w:pos="720" w:leader="none"/>
          <w:tab w:val="left" w:pos="1360" w:leader="none"/>
          <w:tab w:val="left" w:pos="1440" w:leader="none"/>
          <w:tab w:val="left" w:pos="2160" w:leader="none"/>
          <w:tab w:val="left" w:pos="2664" w:leader="none"/>
          <w:tab w:val="left" w:pos="2880" w:leader="none"/>
          <w:tab w:val="left" w:pos="3969" w:leader="none"/>
          <w:tab w:val="left" w:pos="4535" w:leader="none"/>
          <w:tab w:val="left" w:pos="5273" w:leader="none"/>
          <w:tab w:val="left" w:pos="6236" w:leader="none"/>
          <w:tab w:val="left" w:pos="7087" w:leader="none"/>
          <w:tab w:val="left" w:pos="7881" w:leader="none"/>
          <w:tab w:val="left" w:pos="9185" w:leader="none"/>
          <w:tab w:val="left" w:pos="10489" w:leader="none"/>
          <w:tab w:val="left" w:pos="11793" w:leader="none"/>
          <w:tab w:val="left" w:pos="13097" w:leader="none"/>
          <w:tab w:val="left" w:pos="14401" w:leader="none"/>
        </w:tabs>
        <w:jc w:val="both"/>
        <w:rPr>
          <w:rFonts w:ascii="Arial" w:hAnsi="Arial" w:cs="Arial"/>
          <w:sz w:val="22"/>
        </w:rPr>
      </w:pPr>
      <w:r>
        <w:rPr>
          <w:rFonts w:cs="Arial" w:ascii="Arial" w:hAnsi="Arial"/>
          <w:sz w:val="22"/>
        </w:rPr>
        <w:t>The Construction Project Manager conducts a monthly status meeting at the job site with the Construction Site Manager, the Construction Superintendents, and the subcontractors.  This meeting is to identify any current or potential issues or concerns and obtain resolution of them prior to their affecting progress of the work.</w:t>
      </w:r>
    </w:p>
    <w:p>
      <w:pPr>
        <w:pStyle w:val="DefaultText"/>
        <w:tabs>
          <w:tab w:val="clear" w:pos="6577"/>
          <w:tab w:val="left" w:pos="720" w:leader="none"/>
          <w:tab w:val="left" w:pos="1360" w:leader="none"/>
          <w:tab w:val="left" w:pos="1440" w:leader="none"/>
          <w:tab w:val="left" w:pos="2160" w:leader="none"/>
          <w:tab w:val="left" w:pos="2664" w:leader="none"/>
          <w:tab w:val="left" w:pos="2880" w:leader="none"/>
          <w:tab w:val="left" w:pos="3969" w:leader="none"/>
          <w:tab w:val="left" w:pos="4535" w:leader="none"/>
          <w:tab w:val="left" w:pos="5273" w:leader="none"/>
          <w:tab w:val="left" w:pos="6236" w:leader="none"/>
          <w:tab w:val="left" w:pos="7087" w:leader="none"/>
          <w:tab w:val="left" w:pos="7881" w:leader="none"/>
          <w:tab w:val="left" w:pos="9185" w:leader="none"/>
          <w:tab w:val="left" w:pos="10489" w:leader="none"/>
          <w:tab w:val="left" w:pos="11793" w:leader="none"/>
          <w:tab w:val="left" w:pos="13097" w:leader="none"/>
          <w:tab w:val="left" w:pos="14401"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t>VIII.</w:t>
        <w:tab/>
        <w:t>QA/QC PLAN</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 xml:space="preserve">The standard form balance of plant acceptance test plan (ATP) is used as the control mechanism for subcontractor/vendor compliance to quality.  The ATP includes the Tests and Inspections required to insure that the all Balance of Plant work and equipment is ready for commercial operation.  Tests and Inspections for the construction work will be performed and documented throughout the duration of the project. </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numPr>
          <w:ilvl w:val="0"/>
          <w:numId w:val="9"/>
        </w:numPr>
        <w:tabs>
          <w:tab w:val="clear" w:pos="720"/>
          <w:tab w:val="left" w:pos="1440" w:leader="none"/>
          <w:tab w:val="left" w:pos="2160" w:leader="none"/>
          <w:tab w:val="left" w:pos="2880" w:leader="none"/>
        </w:tabs>
        <w:jc w:val="both"/>
        <w:rPr>
          <w:rFonts w:ascii="Arial" w:hAnsi="Arial" w:cs="Arial"/>
          <w:sz w:val="22"/>
        </w:rPr>
      </w:pPr>
      <w:r>
        <w:rPr>
          <w:rFonts w:cs="Arial" w:ascii="Arial" w:hAnsi="Arial"/>
          <w:sz w:val="22"/>
        </w:rPr>
        <w:t>All testing and inspections shall be in accordance with applicable plans and specifications, including but is not limited to supplier specified required final testing and inspections.</w:t>
      </w:r>
    </w:p>
    <w:p>
      <w:pPr>
        <w:pStyle w:val="Normal"/>
        <w:tabs>
          <w:tab w:val="left" w:pos="720" w:leader="none"/>
          <w:tab w:val="left" w:pos="1440" w:leader="none"/>
          <w:tab w:val="left" w:pos="2160" w:leader="none"/>
          <w:tab w:val="left" w:pos="2880" w:leader="none"/>
        </w:tabs>
        <w:ind w:start="360" w:end="0"/>
        <w:jc w:val="both"/>
        <w:rPr>
          <w:rFonts w:ascii="Arial" w:hAnsi="Arial" w:cs="Arial"/>
          <w:sz w:val="22"/>
        </w:rPr>
      </w:pPr>
      <w:r>
        <w:rPr>
          <w:rFonts w:cs="Arial" w:ascii="Arial" w:hAnsi="Arial"/>
          <w:sz w:val="22"/>
        </w:rPr>
      </w:r>
    </w:p>
    <w:p>
      <w:pPr>
        <w:pStyle w:val="Normal"/>
        <w:numPr>
          <w:ilvl w:val="0"/>
          <w:numId w:val="9"/>
        </w:numPr>
        <w:tabs>
          <w:tab w:val="clear" w:pos="720"/>
          <w:tab w:val="left" w:pos="1440" w:leader="none"/>
          <w:tab w:val="left" w:pos="2160" w:leader="none"/>
          <w:tab w:val="left" w:pos="2880" w:leader="none"/>
        </w:tabs>
        <w:jc w:val="both"/>
        <w:rPr>
          <w:rFonts w:ascii="Arial" w:hAnsi="Arial" w:cs="Arial"/>
          <w:sz w:val="22"/>
        </w:rPr>
      </w:pPr>
      <w:r>
        <w:rPr>
          <w:rFonts w:cs="Arial" w:ascii="Arial" w:hAnsi="Arial"/>
          <w:sz w:val="22"/>
        </w:rPr>
        <w:t>All testing and inspections shall be in accordance with applicable codes and standards, including but not limited to the following:</w:t>
      </w:r>
    </w:p>
    <w:p>
      <w:pPr>
        <w:pStyle w:val="BodyText"/>
        <w:numPr>
          <w:ilvl w:val="0"/>
          <w:numId w:val="11"/>
        </w:numPr>
        <w:tabs>
          <w:tab w:val="clear" w:pos="720"/>
          <w:tab w:val="left" w:pos="1440" w:leader="none"/>
          <w:tab w:val="left" w:pos="2160" w:leader="none"/>
          <w:tab w:val="left" w:pos="2880" w:leader="none"/>
        </w:tabs>
        <w:ind w:hanging="720" w:start="1440" w:end="0"/>
        <w:rPr>
          <w:rFonts w:ascii="Arial" w:hAnsi="Arial" w:cs="Arial"/>
          <w:sz w:val="22"/>
        </w:rPr>
      </w:pPr>
      <w:r>
        <w:rPr>
          <w:rFonts w:cs="Arial" w:ascii="Arial" w:hAnsi="Arial"/>
          <w:sz w:val="22"/>
        </w:rPr>
        <w:t>National Electrical Code (NEC)</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 xml:space="preserve">National Electrical Manufacturers Association (NEMA)  </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Institute of Electrical and Electronic Engineers (IEEE)</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American National Standards Institute (ANSI)</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Insulated Cable Engineers Association (ICEA)</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American Society for Testing and Materials (ASTM)</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American Concrete Institute (ACI)</w:t>
      </w:r>
    </w:p>
    <w:p>
      <w:pPr>
        <w:pStyle w:val="Normal"/>
        <w:numPr>
          <w:ilvl w:val="0"/>
          <w:numId w:val="11"/>
        </w:numPr>
        <w:tabs>
          <w:tab w:val="clear" w:pos="720"/>
          <w:tab w:val="left" w:pos="1440" w:leader="none"/>
          <w:tab w:val="left" w:pos="2160" w:leader="none"/>
          <w:tab w:val="left" w:pos="2880" w:leader="none"/>
        </w:tabs>
        <w:ind w:hanging="720" w:start="1440" w:end="0"/>
        <w:jc w:val="both"/>
        <w:rPr>
          <w:rFonts w:ascii="Arial" w:hAnsi="Arial" w:cs="Arial"/>
          <w:sz w:val="22"/>
        </w:rPr>
      </w:pPr>
      <w:r>
        <w:rPr>
          <w:rFonts w:cs="Arial" w:ascii="Arial" w:hAnsi="Arial"/>
          <w:sz w:val="22"/>
        </w:rPr>
        <w:t>National Electrical Testing Association (NETA)</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 xml:space="preserve">The Enron Wind Field Operations Group Technical Services Department performs the final WTG commissioning and power up work.  They perform a detailed QA/QC inspection of the WTG and tower upon mechanical completion, using a WTG Acceptance Test Procedure prepared for each project and each turbine. </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t>IX. SAFETY AND SECURITY PLAN</w:t>
      </w:r>
    </w:p>
    <w:p>
      <w:pPr>
        <w:pStyle w:val="Normal"/>
        <w:tabs>
          <w:tab w:val="left" w:pos="720" w:leader="none"/>
          <w:tab w:val="left" w:pos="1440" w:leader="none"/>
          <w:tab w:val="left" w:pos="2160" w:leader="none"/>
          <w:tab w:val="left" w:pos="2880" w:leader="none"/>
        </w:tabs>
        <w:jc w:val="both"/>
        <w:rPr>
          <w:rFonts w:ascii="Arial" w:hAnsi="Arial" w:cs="Arial"/>
          <w:b/>
          <w:sz w:val="22"/>
        </w:rPr>
      </w:pPr>
      <w:r>
        <w:rPr>
          <w:rFonts w:cs="Arial" w:ascii="Arial" w:hAnsi="Arial"/>
          <w:b/>
          <w:sz w:val="22"/>
        </w:rPr>
      </w:r>
    </w:p>
    <w:p>
      <w:pPr>
        <w:pStyle w:val="Heading4"/>
        <w:tabs>
          <w:tab w:val="left" w:pos="720" w:leader="none"/>
          <w:tab w:val="left" w:pos="1440" w:leader="none"/>
          <w:tab w:val="left" w:pos="2160" w:leader="none"/>
          <w:tab w:val="left" w:pos="2880" w:leader="none"/>
        </w:tabs>
        <w:ind w:hanging="0" w:start="0"/>
        <w:jc w:val="both"/>
        <w:rPr>
          <w:rFonts w:ascii="Arial" w:hAnsi="Arial" w:cs="Arial"/>
          <w:b w:val="false"/>
          <w:i w:val="false"/>
          <w:i w:val="false"/>
          <w:sz w:val="22"/>
        </w:rPr>
      </w:pPr>
      <w:r>
        <w:rPr>
          <w:rFonts w:cs="Arial" w:ascii="Arial" w:hAnsi="Arial"/>
          <w:b w:val="false"/>
          <w:i w:val="false"/>
          <w:sz w:val="22"/>
        </w:rPr>
        <w:t xml:space="preserve">Enron Wind Corp has an excellent safety record in building wind projects worldwide, and has in place a safety program designed to encourage and foster safety.  All Enron Wind Corp employees are required to attend safety lectures and seminars each year, and earn safety points, with awards, for safe conduct of their work. </w:t>
      </w:r>
    </w:p>
    <w:p>
      <w:pPr>
        <w:pStyle w:val="Normal"/>
        <w:tabs>
          <w:tab w:val="left" w:pos="720" w:leader="none"/>
          <w:tab w:val="left" w:pos="1440" w:leader="none"/>
          <w:tab w:val="left" w:pos="2160" w:leader="none"/>
          <w:tab w:val="left" w:pos="2880" w:leader="none"/>
        </w:tabs>
        <w:jc w:val="both"/>
        <w:rPr>
          <w:rFonts w:ascii="Arial" w:hAnsi="Arial" w:cs="Arial"/>
          <w:b/>
          <w:i/>
          <w:i/>
          <w:sz w:val="22"/>
        </w:rPr>
      </w:pPr>
      <w:r>
        <w:rPr>
          <w:rFonts w:cs="Arial" w:ascii="Arial" w:hAnsi="Arial"/>
          <w:b/>
          <w:i/>
          <w:sz w:val="22"/>
        </w:rPr>
      </w:r>
    </w:p>
    <w:p>
      <w:pPr>
        <w:pStyle w:val="Heading4"/>
        <w:tabs>
          <w:tab w:val="left" w:pos="720" w:leader="none"/>
          <w:tab w:val="left" w:pos="1440" w:leader="none"/>
          <w:tab w:val="left" w:pos="2160" w:leader="none"/>
          <w:tab w:val="left" w:pos="2880" w:leader="none"/>
        </w:tabs>
        <w:ind w:hanging="0" w:start="0"/>
        <w:jc w:val="both"/>
        <w:rPr>
          <w:rFonts w:ascii="Arial" w:hAnsi="Arial" w:cs="Arial"/>
          <w:b w:val="false"/>
          <w:i w:val="false"/>
          <w:i w:val="false"/>
          <w:sz w:val="22"/>
        </w:rPr>
      </w:pPr>
      <w:r>
        <w:rPr>
          <w:rFonts w:cs="Arial" w:ascii="Arial" w:hAnsi="Arial"/>
          <w:b w:val="false"/>
          <w:i w:val="false"/>
          <w:sz w:val="22"/>
        </w:rPr>
        <w:t>A copy of the corporate safety plan is kept at each project site and is available to all employees of EWCC, EWC and all subcontractors.  All employees working on the development, construction and operation of Enron Wind projects are required to operate pursuant to these standards at all times. All subcontractors working on construction of Enron Wind projects are required to operate pursuant to their site specific safety plans, provided that that those plans meet or exceed the Enron Wind Safety standards at all times.</w:t>
      </w:r>
    </w:p>
    <w:p>
      <w:pPr>
        <w:pStyle w:val="Normal"/>
        <w:tabs>
          <w:tab w:val="left" w:pos="720" w:leader="none"/>
          <w:tab w:val="left" w:pos="1440" w:leader="none"/>
          <w:tab w:val="left" w:pos="2160" w:leader="none"/>
          <w:tab w:val="left" w:pos="2880" w:leader="none"/>
        </w:tabs>
        <w:jc w:val="both"/>
        <w:rPr>
          <w:rFonts w:ascii="Arial" w:hAnsi="Arial" w:cs="Arial"/>
          <w:b/>
          <w:i/>
          <w:i/>
          <w:sz w:val="22"/>
        </w:rPr>
      </w:pPr>
      <w:r>
        <w:rPr>
          <w:rFonts w:cs="Arial" w:ascii="Arial" w:hAnsi="Arial"/>
          <w:b/>
          <w:i/>
          <w:sz w:val="22"/>
        </w:rPr>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t>Access to the site is controlled with the use of vehicle gates and posted signs indicating only authorized personnel are to pass the gate.  The gates are left closed but unlocked during working hours to permit authorized personnel access to the site.  The gates are closed and locked during non-working hours.</w:t>
      </w:r>
    </w:p>
    <w:p>
      <w:pPr>
        <w:pStyle w:val="Normal"/>
        <w:tabs>
          <w:tab w:val="left" w:pos="720" w:leader="none"/>
          <w:tab w:val="left" w:pos="1440" w:leader="none"/>
          <w:tab w:val="left" w:pos="2160" w:leader="none"/>
          <w:tab w:val="left" w:pos="288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s>
        <w:rPr>
          <w:rFonts w:ascii="Arial" w:hAnsi="Arial" w:cs="Arial"/>
          <w:b/>
          <w:sz w:val="22"/>
        </w:rPr>
      </w:pPr>
      <w:r>
        <w:rPr>
          <w:rFonts w:cs="Arial" w:ascii="Arial" w:hAnsi="Arial"/>
          <w:b/>
          <w:sz w:val="22"/>
        </w:rPr>
      </w:r>
    </w:p>
    <w:sectPr>
      <w:headerReference w:type="default" r:id="rId2"/>
      <w:headerReference w:type="first" r:id="rId3"/>
      <w:footerReference w:type="default" r:id="rId4"/>
      <w:footerReference w:type="first" r:id="rId5"/>
      <w:type w:val="nextPage"/>
      <w:pgSz w:w="12240" w:h="15840"/>
      <w:pgMar w:left="1440" w:right="1440" w:gutter="0" w:header="1080" w:top="1800" w:footer="108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Not an Offer, For Discussion Purposes Only.</w:t>
    </w:r>
  </w:p>
  <w:p>
    <w:pPr>
      <w:pStyle w:val="Header"/>
      <w:jc w:val="end"/>
      <w:rPr/>
    </w:pPr>
    <w:r>
      <w:rPr/>
      <w:t>Proprietary &amp; Confidential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Not an Offer, For Discussion Purposes Only.</w:t>
    </w:r>
  </w:p>
  <w:p>
    <w:pPr>
      <w:pStyle w:val="Header"/>
      <w:jc w:val="end"/>
      <w:rPr/>
    </w:pPr>
    <w:r>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6"/>
      <w:numFmt w:val="decimal"/>
      <w:lvlText w:val="%1."/>
      <w:lvlJc w:val="start"/>
      <w:pPr>
        <w:tabs>
          <w:tab w:val="num" w:pos="720"/>
        </w:tabs>
        <w:ind w:start="72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
      <w:numFmt w:val="decimal"/>
      <w:lvlText w:val="%1."/>
      <w:lvlJc w:val="start"/>
      <w:pPr>
        <w:tabs>
          <w:tab w:val="num" w:pos="720"/>
        </w:tabs>
        <w:ind w:start="720" w:hanging="72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lvl>
  </w:abstractNum>
  <w:abstractNum w:abstractNumId="9">
    <w:lvl w:ilvl="0">
      <w:start w:val="1"/>
      <w:numFmt w:val="decimal"/>
      <w:lvlText w:val="%1."/>
      <w:lvlJc w:val="start"/>
      <w:pPr>
        <w:tabs>
          <w:tab w:val="num" w:pos="720"/>
        </w:tabs>
        <w:ind w:start="720" w:hanging="72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revisionView w:insDel="0" w:formatting="0"/>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u w:val="single"/>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outlineLvl w:val="3"/>
    </w:pPr>
    <w:rPr>
      <w:b/>
      <w:i/>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hanging="0" w:start="720" w:end="0"/>
      <w:outlineLvl w:val="5"/>
    </w:pPr>
    <w:rPr>
      <w:b/>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s>
      <w:jc w:val="both"/>
      <w:outlineLvl w:val="6"/>
    </w:pPr>
    <w:rPr>
      <w:b/>
    </w:rPr>
  </w:style>
  <w:style w:type="paragraph" w:styleId="Heading8">
    <w:name w:val="heading 8"/>
    <w:basedOn w:val="Normal"/>
    <w:next w:val="Normal"/>
    <w:qFormat/>
    <w:pPr>
      <w:keepNext w:val="true"/>
      <w:numPr>
        <w:ilvl w:val="7"/>
        <w:numId w:val="1"/>
      </w:numPr>
      <w:jc w:val="center"/>
      <w:outlineLvl w:val="7"/>
    </w:pPr>
    <w:rPr>
      <w:sz w:val="32"/>
    </w:rPr>
  </w:style>
  <w:style w:type="paragraph" w:styleId="Heading9">
    <w:name w:val="heading 9"/>
    <w:basedOn w:val="Normal"/>
    <w:next w:val="Normal"/>
    <w:qFormat/>
    <w:pPr>
      <w:keepNext w:val="true"/>
      <w:numPr>
        <w:ilvl w:val="8"/>
        <w:numId w:val="1"/>
      </w:numPr>
      <w:tabs>
        <w:tab w:val="left" w:pos="720" w:leader="none"/>
        <w:tab w:val="left" w:pos="1440" w:leader="none"/>
        <w:tab w:val="left" w:pos="2160" w:leader="none"/>
        <w:tab w:val="left" w:pos="2880" w:leader="none"/>
      </w:tabs>
      <w:ind w:hanging="0" w:start="0" w:end="-90"/>
      <w:jc w:val="center"/>
      <w:outlineLvl w:val="8"/>
    </w:pPr>
    <w:rPr>
      <w:b/>
    </w:rPr>
  </w:style>
  <w:style w:type="character" w:styleId="WW8Num17z0">
    <w:name w:val="WW8Num17z0"/>
    <w:qFormat/>
    <w:rPr>
      <w:rFonts w:ascii="Symbol" w:hAnsi="Symbol" w:cs="Symbol"/>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St10z0">
    <w:name w:val="WW8NumSt10z0"/>
    <w:qFormat/>
    <w:rPr>
      <w:rFonts w:ascii="WP MathA" w:hAnsi="WP MathA" w:cs="WP MathA"/>
    </w:rPr>
  </w:style>
  <w:style w:type="character" w:styleId="WW8NumSt11z0">
    <w:name w:val="WW8NumSt11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14"/>
      </w:numPr>
      <w:tabs>
        <w:tab w:val="clear" w:pos="720"/>
      </w:tabs>
      <w:ind w:hanging="720" w:start="720" w:end="0"/>
    </w:pPr>
    <w:rPr/>
  </w:style>
  <w:style w:type="paragraph" w:styleId="Style5">
    <w:name w:val="_"/>
    <w:basedOn w:val="Normal"/>
    <w:qFormat/>
    <w:pPr>
      <w:ind w:hanging="720" w:start="1440" w:end="0"/>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hanging="0" w:start="1440" w:end="0"/>
    </w:pPr>
    <w:rPr/>
  </w:style>
  <w:style w:type="paragraph" w:styleId="DefaultText">
    <w:name w:val="Default Text"/>
    <w:basedOn w:val="Normal"/>
    <w:qFormat/>
    <w:pPr>
      <w:widowControl/>
      <w:tabs>
        <w:tab w:val="clear" w:pos="720"/>
        <w:tab w:val="left" w:pos="1360" w:leader="none"/>
        <w:tab w:val="left" w:pos="2664" w:leader="none"/>
        <w:tab w:val="left" w:pos="3969" w:leader="none"/>
        <w:tab w:val="left" w:pos="5273" w:leader="none"/>
        <w:tab w:val="left" w:pos="6577" w:leader="none"/>
        <w:tab w:val="left" w:pos="7881" w:leader="none"/>
        <w:tab w:val="left" w:pos="9185" w:leader="none"/>
        <w:tab w:val="left" w:pos="10489" w:leader="none"/>
        <w:tab w:val="left" w:pos="11793" w:leader="none"/>
        <w:tab w:val="left" w:pos="13097" w:leader="none"/>
        <w:tab w:val="left" w:pos="14401" w:leader="none"/>
      </w:tabs>
    </w:pPr>
    <w:rPr>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s>
      <w:ind w:hanging="0" w:start="0" w:end="-9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2001-01-18T18:36:00Z</dcterms:created>
  <dc:creator>Eli J. Bosco</dc:creator>
  <dc:description/>
  <dc:language>en-CA</dc:language>
  <cp:lastModifiedBy>Michael J. Curry</cp:lastModifiedBy>
  <cp:lastPrinted>2001-01-18T13:42:00Z</cp:lastPrinted>
  <dcterms:modified xsi:type="dcterms:W3CDTF">2001-01-18T18:43:00Z</dcterms:modified>
  <cp:revision>3</cp:revision>
  <dc:subject/>
  <dc:title>05-17-00 Draft VER-01</dc:title>
</cp:coreProperties>
</file>