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 w:val="right" w:pos="9360" w:leader="none"/>
        </w:tabs>
        <w:spacing w:before="1584" w:after="0"/>
        <w:rPr/>
      </w:pPr>
      <w:bookmarkStart w:id="0" w:name="eLtrToggleTemp"/>
      <w:bookmarkStart w:id="1" w:name="Client"/>
      <w:bookmarkEnd w:id="0"/>
      <w:bookmarkEnd w:id="1"/>
      <w:r>
        <w:rPr/>
        <w:tab/>
        <w:t>August 14, 2001</w:t>
      </w:r>
    </w:p>
    <w:p>
      <w:pPr>
        <w:pStyle w:val="Normal"/>
        <w:tabs>
          <w:tab w:val="clear" w:pos="720"/>
          <w:tab w:val="center" w:pos="4680" w:leader="none"/>
          <w:tab w:val="right" w:pos="9360" w:leader="none"/>
        </w:tabs>
        <w:rPr>
          <w:lang w:val="en-CA" w:eastAsia="en-CA"/>
        </w:rPr>
      </w:pPr>
      <w:r>
        <w:rPr>
          <w:lang w:val="en-CA" w:eastAsia="en-CA"/>
        </w:rPr>
        <w:drawing>
          <wp:anchor behindDoc="1" distT="0" distB="0" distL="114935" distR="114935" simplePos="0" locked="0" layoutInCell="0" allowOverlap="1" relativeHeight="7">
            <wp:simplePos x="0" y="0"/>
            <wp:positionH relativeFrom="page">
              <wp:posOffset>1115695</wp:posOffset>
            </wp:positionH>
            <wp:positionV relativeFrom="page">
              <wp:posOffset>667385</wp:posOffset>
            </wp:positionV>
            <wp:extent cx="2011680" cy="266700"/>
            <wp:effectExtent l="0" t="0" r="0" b="0"/>
            <wp:wrapNone/>
            <wp:docPr id="1" name="ELtrHead First 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rHead First Page" descr="" title=""/>
                    <pic:cNvPicPr>
                      <a:picLocks noChangeAspect="1" noChangeArrowheads="1"/>
                    </pic:cNvPicPr>
                  </pic:nvPicPr>
                  <pic:blipFill>
                    <a:blip r:embed="rId2"/>
                    <a:srcRect l="-2" t="-18" r="-2" b="-18"/>
                    <a:stretch>
                      <a:fillRect/>
                    </a:stretch>
                  </pic:blipFill>
                  <pic:spPr bwMode="auto">
                    <a:xfrm>
                      <a:off x="0" y="0"/>
                      <a:ext cx="2011680" cy="266700"/>
                    </a:xfrm>
                    <a:prstGeom prst="rect">
                      <a:avLst/>
                    </a:prstGeom>
                    <a:noFill/>
                  </pic:spPr>
                </pic:pic>
              </a:graphicData>
            </a:graphic>
          </wp:anchor>
        </w:drawing>
      </w:r>
      <w:r>
        <mc:AlternateContent>
          <mc:Choice Requires="wps">
            <w:drawing>
              <wp:anchor behindDoc="1" distT="0" distB="0" distL="114935" distR="114935" simplePos="0" locked="0" layoutInCell="0" allowOverlap="1" relativeHeight="8">
                <wp:simplePos x="0" y="0"/>
                <wp:positionH relativeFrom="page">
                  <wp:posOffset>4754880</wp:posOffset>
                </wp:positionH>
                <wp:positionV relativeFrom="page">
                  <wp:posOffset>365760</wp:posOffset>
                </wp:positionV>
                <wp:extent cx="2926080" cy="1188720"/>
                <wp:effectExtent l="0" t="0" r="0" b="0"/>
                <wp:wrapNone/>
                <wp:docPr id="2" name="Frame2"/>
                <a:graphic xmlns:a="http://schemas.openxmlformats.org/drawingml/2006/main">
                  <a:graphicData uri="http://schemas.microsoft.com/office/word/2010/wordprocessingShape">
                    <wps:wsp>
                      <wps:cNvSpPr txBox="1"/>
                      <wps:spPr>
                        <a:xfrm>
                          <a:off x="0" y="0"/>
                          <a:ext cx="2926080" cy="1188720"/>
                        </a:xfrm>
                        <a:prstGeom prst="rect"/>
                        <a:solidFill>
                          <a:srgbClr val="FFFFFF">
                            <a:alpha val="0"/>
                          </a:srgbClr>
                        </a:solidFill>
                      </wps:spPr>
                      <wps:txbx>
                        <w:txbxContent>
                          <w:p>
                            <w:pPr>
                              <w:pStyle w:val="Normal"/>
                              <w:rPr>
                                <w:sz w:val="6"/>
                              </w:rPr>
                            </w:pPr>
                            <w:r>
                              <w:rPr>
                                <w:sz w:val="6"/>
                              </w:rPr>
                            </w:r>
                          </w:p>
                          <w:tbl>
                            <w:tblPr>
                              <w:tblW w:w="4050" w:type="dxa"/>
                              <w:jc w:val="start"/>
                              <w:tblInd w:w="378" w:type="dxa"/>
                              <w:tblLayout w:type="fixed"/>
                              <w:tblCellMar>
                                <w:top w:w="0" w:type="dxa"/>
                                <w:start w:w="108" w:type="dxa"/>
                                <w:bottom w:w="0" w:type="dxa"/>
                                <w:end w:w="108" w:type="dxa"/>
                              </w:tblCellMar>
                            </w:tblPr>
                            <w:tblGrid>
                              <w:gridCol w:w="2340"/>
                              <w:gridCol w:w="1710"/>
                            </w:tblGrid>
                            <w:tr>
                              <w:trPr/>
                              <w:tc>
                                <w:tcPr>
                                  <w:tcW w:w="2340" w:type="dxa"/>
                                  <w:tcBorders/>
                                </w:tcPr>
                                <w:p>
                                  <w:pPr>
                                    <w:pStyle w:val="Normal"/>
                                    <w:spacing w:lineRule="auto" w:line="264"/>
                                    <w:rPr>
                                      <w:rFonts w:ascii="Futura Light" w:hAnsi="Futura Light" w:cs="Futura Light"/>
                                      <w:sz w:val="14"/>
                                    </w:rPr>
                                  </w:pPr>
                                  <w:r>
                                    <w:rPr>
                                      <w:rFonts w:cs="Futura Light" w:ascii="Futura Light" w:hAnsi="Futura Light"/>
                                      <w:sz w:val="14"/>
                                    </w:rPr>
                                    <w:t>THE WARNER</w:t>
                                  </w:r>
                                </w:p>
                                <w:p>
                                  <w:pPr>
                                    <w:pStyle w:val="Normal"/>
                                    <w:spacing w:lineRule="auto" w:line="264"/>
                                    <w:rPr>
                                      <w:rFonts w:ascii="Futura Light" w:hAnsi="Futura Light" w:cs="Futura Light"/>
                                      <w:sz w:val="14"/>
                                    </w:rPr>
                                  </w:pPr>
                                  <w:r>
                                    <w:rPr>
                                      <w:rFonts w:cs="Futura Light" w:ascii="Futura Light" w:hAnsi="Futura Light"/>
                                      <w:sz w:val="14"/>
                                    </w:rPr>
                                    <w:t>1299 PENNSYLVANIA AVE., NW</w:t>
                                  </w:r>
                                </w:p>
                                <w:p>
                                  <w:pPr>
                                    <w:pStyle w:val="Normal"/>
                                    <w:spacing w:lineRule="auto" w:line="264"/>
                                    <w:rPr>
                                      <w:rFonts w:ascii="Futura Light" w:hAnsi="Futura Light" w:cs="Futura Light"/>
                                      <w:sz w:val="14"/>
                                    </w:rPr>
                                  </w:pPr>
                                  <w:r>
                                    <w:rPr>
                                      <w:rFonts w:cs="Futura Light" w:ascii="Futura Light" w:hAnsi="Futura Light"/>
                                      <w:sz w:val="14"/>
                                    </w:rPr>
                                    <w:t>WASHINGTON, DC</w:t>
                                  </w:r>
                                </w:p>
                                <w:p>
                                  <w:pPr>
                                    <w:pStyle w:val="Normal"/>
                                    <w:spacing w:lineRule="auto" w:line="264"/>
                                    <w:rPr>
                                      <w:rFonts w:ascii="Futura Light" w:hAnsi="Futura Light" w:cs="Futura Light"/>
                                      <w:sz w:val="14"/>
                                    </w:rPr>
                                  </w:pPr>
                                  <w:r>
                                    <w:rPr>
                                      <w:rFonts w:cs="Futura Light" w:ascii="Futura Light" w:hAnsi="Futura Light"/>
                                      <w:sz w:val="14"/>
                                    </w:rPr>
                                    <w:t>20004-2400</w:t>
                                  </w:r>
                                </w:p>
                                <w:p>
                                  <w:pPr>
                                    <w:pStyle w:val="Normal"/>
                                    <w:spacing w:lineRule="auto" w:line="264"/>
                                    <w:rPr>
                                      <w:rFonts w:ascii="Futura Light" w:hAnsi="Futura Light" w:cs="Futura Light"/>
                                      <w:sz w:val="14"/>
                                    </w:rPr>
                                  </w:pPr>
                                  <w:r>
                                    <w:rPr>
                                      <w:rFonts w:cs="Futura Light" w:ascii="Futura Light" w:hAnsi="Futura Light"/>
                                      <w:sz w:val="14"/>
                                    </w:rPr>
                                    <w:t>202.639.7700</w:t>
                                  </w:r>
                                </w:p>
                                <w:p>
                                  <w:pPr>
                                    <w:pStyle w:val="Normal"/>
                                    <w:rPr>
                                      <w:rFonts w:ascii="Futura Light" w:hAnsi="Futura Light" w:cs="Futura Light"/>
                                      <w:sz w:val="14"/>
                                    </w:rPr>
                                  </w:pPr>
                                  <w:r>
                                    <w:rPr>
                                      <w:rFonts w:cs="Futura Light" w:ascii="Futura Light" w:hAnsi="Futura Light"/>
                                      <w:sz w:val="14"/>
                                    </w:rPr>
                                    <w:t>FAX   202.639.7890</w:t>
                                  </w:r>
                                </w:p>
                              </w:tc>
                              <w:tc>
                                <w:tcPr>
                                  <w:tcW w:w="1710" w:type="dxa"/>
                                  <w:tcBorders/>
                                </w:tcPr>
                                <w:p>
                                  <w:pPr>
                                    <w:pStyle w:val="Normal"/>
                                    <w:spacing w:lineRule="auto" w:line="264"/>
                                    <w:rPr>
                                      <w:rFonts w:ascii="Futura Light" w:hAnsi="Futura Light" w:cs="Futura Light"/>
                                      <w:sz w:val="14"/>
                                    </w:rPr>
                                  </w:pPr>
                                  <w:r>
                                    <w:rPr>
                                      <w:rFonts w:cs="Futura Light" w:ascii="Futura Light" w:hAnsi="Futura Light"/>
                                      <w:sz w:val="14"/>
                                    </w:rPr>
                                    <w:t>AUSTIN</w:t>
                                  </w:r>
                                </w:p>
                                <w:p>
                                  <w:pPr>
                                    <w:pStyle w:val="Normal"/>
                                    <w:spacing w:lineRule="auto" w:line="264"/>
                                    <w:rPr>
                                      <w:rFonts w:ascii="Futura Light" w:hAnsi="Futura Light" w:cs="Futura Light"/>
                                      <w:sz w:val="14"/>
                                    </w:rPr>
                                  </w:pPr>
                                  <w:r>
                                    <w:rPr>
                                      <w:rFonts w:cs="Futura Light" w:ascii="Futura Light" w:hAnsi="Futura Light"/>
                                      <w:sz w:val="14"/>
                                    </w:rPr>
                                    <w:t>BAKU</w:t>
                                  </w:r>
                                </w:p>
                                <w:p>
                                  <w:pPr>
                                    <w:pStyle w:val="Normal"/>
                                    <w:spacing w:lineRule="auto" w:line="264"/>
                                    <w:rPr>
                                      <w:rFonts w:ascii="Futura Light" w:hAnsi="Futura Light" w:cs="Futura Light"/>
                                      <w:sz w:val="14"/>
                                    </w:rPr>
                                  </w:pPr>
                                  <w:r>
                                    <w:rPr>
                                      <w:rFonts w:cs="Futura Light" w:ascii="Futura Light" w:hAnsi="Futura Light"/>
                                      <w:sz w:val="14"/>
                                    </w:rPr>
                                    <w:t>DALLAS</w:t>
                                  </w:r>
                                </w:p>
                                <w:p>
                                  <w:pPr>
                                    <w:pStyle w:val="Normal"/>
                                    <w:spacing w:lineRule="auto" w:line="264"/>
                                    <w:rPr>
                                      <w:rFonts w:ascii="Futura Light" w:hAnsi="Futura Light" w:cs="Futura Light"/>
                                      <w:sz w:val="14"/>
                                    </w:rPr>
                                  </w:pPr>
                                  <w:r>
                                    <w:rPr>
                                      <w:rFonts w:cs="Futura Light" w:ascii="Futura Light" w:hAnsi="Futura Light"/>
                                      <w:sz w:val="14"/>
                                    </w:rPr>
                                    <w:t>HOUSTON</w:t>
                                  </w:r>
                                </w:p>
                                <w:p>
                                  <w:pPr>
                                    <w:pStyle w:val="Normal"/>
                                    <w:spacing w:lineRule="auto" w:line="264"/>
                                    <w:rPr>
                                      <w:rFonts w:ascii="Futura Light" w:hAnsi="Futura Light" w:cs="Futura Light"/>
                                      <w:sz w:val="14"/>
                                    </w:rPr>
                                  </w:pPr>
                                  <w:r>
                                    <w:rPr>
                                      <w:rFonts w:cs="Futura Light" w:ascii="Futura Light" w:hAnsi="Futura Light"/>
                                      <w:sz w:val="14"/>
                                    </w:rPr>
                                    <w:t>LONDON</w:t>
                                  </w:r>
                                </w:p>
                                <w:p>
                                  <w:pPr>
                                    <w:pStyle w:val="Normal"/>
                                    <w:spacing w:lineRule="auto" w:line="264"/>
                                    <w:rPr>
                                      <w:rFonts w:ascii="Futura Light" w:hAnsi="Futura Light" w:cs="Futura Light"/>
                                      <w:sz w:val="14"/>
                                    </w:rPr>
                                  </w:pPr>
                                  <w:r>
                                    <w:rPr>
                                      <w:rFonts w:cs="Futura Light" w:ascii="Futura Light" w:hAnsi="Futura Light"/>
                                      <w:sz w:val="14"/>
                                    </w:rPr>
                                    <w:t>NEW YORK</w:t>
                                  </w:r>
                                </w:p>
                                <w:p>
                                  <w:pPr>
                                    <w:pStyle w:val="Normal"/>
                                    <w:spacing w:lineRule="auto" w:line="264"/>
                                    <w:rPr>
                                      <w:rFonts w:ascii="Futura Light" w:hAnsi="Futura Light" w:cs="Futura Light"/>
                                      <w:sz w:val="14"/>
                                    </w:rPr>
                                  </w:pPr>
                                  <w:r>
                                    <w:rPr>
                                      <w:rFonts w:cs="Futura Light" w:ascii="Futura Light" w:hAnsi="Futura Light"/>
                                      <w:sz w:val="14"/>
                                    </w:rPr>
                                    <w:t>RIYADH</w:t>
                                  </w:r>
                                </w:p>
                                <w:p>
                                  <w:pPr>
                                    <w:pStyle w:val="Normal"/>
                                    <w:rPr>
                                      <w:rFonts w:ascii="Futura Medium" w:hAnsi="Futura Medium" w:cs="Futura Medium"/>
                                      <w:b/>
                                      <w:sz w:val="15"/>
                                    </w:rPr>
                                  </w:pPr>
                                  <w:r>
                                    <w:rPr>
                                      <w:rFonts w:cs="Futura Medium" w:ascii="Futura Medium" w:hAnsi="Futura Medium"/>
                                      <w:b/>
                                      <w:sz w:val="15"/>
                                    </w:rPr>
                                    <w:t>WASHINGTON</w:t>
                                  </w:r>
                                </w:p>
                              </w:tc>
                            </w:tr>
                          </w:tbl>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30.4pt;height:93.6pt;mso-wrap-distance-left:9.05pt;mso-wrap-distance-right:9.05pt;mso-wrap-distance-top:0pt;mso-wrap-distance-bottom:0pt;margin-top:28.8pt;mso-position-vertical-relative:page;margin-left:374.4pt;mso-position-horizontal-relative:page">
                <v:fill opacity="0f"/>
                <v:textbox inset="0.100694444444444in,0.0506944444444444in,0.100694444444444in,0.0506944444444444in">
                  <w:txbxContent>
                    <w:p>
                      <w:pPr>
                        <w:pStyle w:val="Normal"/>
                        <w:rPr>
                          <w:sz w:val="6"/>
                        </w:rPr>
                      </w:pPr>
                      <w:r>
                        <w:rPr>
                          <w:sz w:val="6"/>
                        </w:rPr>
                      </w:r>
                    </w:p>
                    <w:tbl>
                      <w:tblPr>
                        <w:tblW w:w="4050" w:type="dxa"/>
                        <w:jc w:val="start"/>
                        <w:tblInd w:w="378" w:type="dxa"/>
                        <w:tblLayout w:type="fixed"/>
                        <w:tblCellMar>
                          <w:top w:w="0" w:type="dxa"/>
                          <w:start w:w="108" w:type="dxa"/>
                          <w:bottom w:w="0" w:type="dxa"/>
                          <w:end w:w="108" w:type="dxa"/>
                        </w:tblCellMar>
                      </w:tblPr>
                      <w:tblGrid>
                        <w:gridCol w:w="2340"/>
                        <w:gridCol w:w="1710"/>
                      </w:tblGrid>
                      <w:tr>
                        <w:trPr/>
                        <w:tc>
                          <w:tcPr>
                            <w:tcW w:w="2340" w:type="dxa"/>
                            <w:tcBorders/>
                          </w:tcPr>
                          <w:p>
                            <w:pPr>
                              <w:pStyle w:val="Normal"/>
                              <w:spacing w:lineRule="auto" w:line="264"/>
                              <w:rPr>
                                <w:rFonts w:ascii="Futura Light" w:hAnsi="Futura Light" w:cs="Futura Light"/>
                                <w:sz w:val="14"/>
                              </w:rPr>
                            </w:pPr>
                            <w:r>
                              <w:rPr>
                                <w:rFonts w:cs="Futura Light" w:ascii="Futura Light" w:hAnsi="Futura Light"/>
                                <w:sz w:val="14"/>
                              </w:rPr>
                              <w:t>THE WARNER</w:t>
                            </w:r>
                          </w:p>
                          <w:p>
                            <w:pPr>
                              <w:pStyle w:val="Normal"/>
                              <w:spacing w:lineRule="auto" w:line="264"/>
                              <w:rPr>
                                <w:rFonts w:ascii="Futura Light" w:hAnsi="Futura Light" w:cs="Futura Light"/>
                                <w:sz w:val="14"/>
                              </w:rPr>
                            </w:pPr>
                            <w:r>
                              <w:rPr>
                                <w:rFonts w:cs="Futura Light" w:ascii="Futura Light" w:hAnsi="Futura Light"/>
                                <w:sz w:val="14"/>
                              </w:rPr>
                              <w:t>1299 PENNSYLVANIA AVE., NW</w:t>
                            </w:r>
                          </w:p>
                          <w:p>
                            <w:pPr>
                              <w:pStyle w:val="Normal"/>
                              <w:spacing w:lineRule="auto" w:line="264"/>
                              <w:rPr>
                                <w:rFonts w:ascii="Futura Light" w:hAnsi="Futura Light" w:cs="Futura Light"/>
                                <w:sz w:val="14"/>
                              </w:rPr>
                            </w:pPr>
                            <w:r>
                              <w:rPr>
                                <w:rFonts w:cs="Futura Light" w:ascii="Futura Light" w:hAnsi="Futura Light"/>
                                <w:sz w:val="14"/>
                              </w:rPr>
                              <w:t>WASHINGTON, DC</w:t>
                            </w:r>
                          </w:p>
                          <w:p>
                            <w:pPr>
                              <w:pStyle w:val="Normal"/>
                              <w:spacing w:lineRule="auto" w:line="264"/>
                              <w:rPr>
                                <w:rFonts w:ascii="Futura Light" w:hAnsi="Futura Light" w:cs="Futura Light"/>
                                <w:sz w:val="14"/>
                              </w:rPr>
                            </w:pPr>
                            <w:r>
                              <w:rPr>
                                <w:rFonts w:cs="Futura Light" w:ascii="Futura Light" w:hAnsi="Futura Light"/>
                                <w:sz w:val="14"/>
                              </w:rPr>
                              <w:t>20004-2400</w:t>
                            </w:r>
                          </w:p>
                          <w:p>
                            <w:pPr>
                              <w:pStyle w:val="Normal"/>
                              <w:spacing w:lineRule="auto" w:line="264"/>
                              <w:rPr>
                                <w:rFonts w:ascii="Futura Light" w:hAnsi="Futura Light" w:cs="Futura Light"/>
                                <w:sz w:val="14"/>
                              </w:rPr>
                            </w:pPr>
                            <w:r>
                              <w:rPr>
                                <w:rFonts w:cs="Futura Light" w:ascii="Futura Light" w:hAnsi="Futura Light"/>
                                <w:sz w:val="14"/>
                              </w:rPr>
                              <w:t>202.639.7700</w:t>
                            </w:r>
                          </w:p>
                          <w:p>
                            <w:pPr>
                              <w:pStyle w:val="Normal"/>
                              <w:rPr>
                                <w:rFonts w:ascii="Futura Light" w:hAnsi="Futura Light" w:cs="Futura Light"/>
                                <w:sz w:val="14"/>
                              </w:rPr>
                            </w:pPr>
                            <w:r>
                              <w:rPr>
                                <w:rFonts w:cs="Futura Light" w:ascii="Futura Light" w:hAnsi="Futura Light"/>
                                <w:sz w:val="14"/>
                              </w:rPr>
                              <w:t>FAX   202.639.7890</w:t>
                            </w:r>
                          </w:p>
                        </w:tc>
                        <w:tc>
                          <w:tcPr>
                            <w:tcW w:w="1710" w:type="dxa"/>
                            <w:tcBorders/>
                          </w:tcPr>
                          <w:p>
                            <w:pPr>
                              <w:pStyle w:val="Normal"/>
                              <w:spacing w:lineRule="auto" w:line="264"/>
                              <w:rPr>
                                <w:rFonts w:ascii="Futura Light" w:hAnsi="Futura Light" w:cs="Futura Light"/>
                                <w:sz w:val="14"/>
                              </w:rPr>
                            </w:pPr>
                            <w:r>
                              <w:rPr>
                                <w:rFonts w:cs="Futura Light" w:ascii="Futura Light" w:hAnsi="Futura Light"/>
                                <w:sz w:val="14"/>
                              </w:rPr>
                              <w:t>AUSTIN</w:t>
                            </w:r>
                          </w:p>
                          <w:p>
                            <w:pPr>
                              <w:pStyle w:val="Normal"/>
                              <w:spacing w:lineRule="auto" w:line="264"/>
                              <w:rPr>
                                <w:rFonts w:ascii="Futura Light" w:hAnsi="Futura Light" w:cs="Futura Light"/>
                                <w:sz w:val="14"/>
                              </w:rPr>
                            </w:pPr>
                            <w:r>
                              <w:rPr>
                                <w:rFonts w:cs="Futura Light" w:ascii="Futura Light" w:hAnsi="Futura Light"/>
                                <w:sz w:val="14"/>
                              </w:rPr>
                              <w:t>BAKU</w:t>
                            </w:r>
                          </w:p>
                          <w:p>
                            <w:pPr>
                              <w:pStyle w:val="Normal"/>
                              <w:spacing w:lineRule="auto" w:line="264"/>
                              <w:rPr>
                                <w:rFonts w:ascii="Futura Light" w:hAnsi="Futura Light" w:cs="Futura Light"/>
                                <w:sz w:val="14"/>
                              </w:rPr>
                            </w:pPr>
                            <w:r>
                              <w:rPr>
                                <w:rFonts w:cs="Futura Light" w:ascii="Futura Light" w:hAnsi="Futura Light"/>
                                <w:sz w:val="14"/>
                              </w:rPr>
                              <w:t>DALLAS</w:t>
                            </w:r>
                          </w:p>
                          <w:p>
                            <w:pPr>
                              <w:pStyle w:val="Normal"/>
                              <w:spacing w:lineRule="auto" w:line="264"/>
                              <w:rPr>
                                <w:rFonts w:ascii="Futura Light" w:hAnsi="Futura Light" w:cs="Futura Light"/>
                                <w:sz w:val="14"/>
                              </w:rPr>
                            </w:pPr>
                            <w:r>
                              <w:rPr>
                                <w:rFonts w:cs="Futura Light" w:ascii="Futura Light" w:hAnsi="Futura Light"/>
                                <w:sz w:val="14"/>
                              </w:rPr>
                              <w:t>HOUSTON</w:t>
                            </w:r>
                          </w:p>
                          <w:p>
                            <w:pPr>
                              <w:pStyle w:val="Normal"/>
                              <w:spacing w:lineRule="auto" w:line="264"/>
                              <w:rPr>
                                <w:rFonts w:ascii="Futura Light" w:hAnsi="Futura Light" w:cs="Futura Light"/>
                                <w:sz w:val="14"/>
                              </w:rPr>
                            </w:pPr>
                            <w:r>
                              <w:rPr>
                                <w:rFonts w:cs="Futura Light" w:ascii="Futura Light" w:hAnsi="Futura Light"/>
                                <w:sz w:val="14"/>
                              </w:rPr>
                              <w:t>LONDON</w:t>
                            </w:r>
                          </w:p>
                          <w:p>
                            <w:pPr>
                              <w:pStyle w:val="Normal"/>
                              <w:spacing w:lineRule="auto" w:line="264"/>
                              <w:rPr>
                                <w:rFonts w:ascii="Futura Light" w:hAnsi="Futura Light" w:cs="Futura Light"/>
                                <w:sz w:val="14"/>
                              </w:rPr>
                            </w:pPr>
                            <w:r>
                              <w:rPr>
                                <w:rFonts w:cs="Futura Light" w:ascii="Futura Light" w:hAnsi="Futura Light"/>
                                <w:sz w:val="14"/>
                              </w:rPr>
                              <w:t>NEW YORK</w:t>
                            </w:r>
                          </w:p>
                          <w:p>
                            <w:pPr>
                              <w:pStyle w:val="Normal"/>
                              <w:spacing w:lineRule="auto" w:line="264"/>
                              <w:rPr>
                                <w:rFonts w:ascii="Futura Light" w:hAnsi="Futura Light" w:cs="Futura Light"/>
                                <w:sz w:val="14"/>
                              </w:rPr>
                            </w:pPr>
                            <w:r>
                              <w:rPr>
                                <w:rFonts w:cs="Futura Light" w:ascii="Futura Light" w:hAnsi="Futura Light"/>
                                <w:sz w:val="14"/>
                              </w:rPr>
                              <w:t>RIYADH</w:t>
                            </w:r>
                          </w:p>
                          <w:p>
                            <w:pPr>
                              <w:pStyle w:val="Normal"/>
                              <w:rPr>
                                <w:rFonts w:ascii="Futura Medium" w:hAnsi="Futura Medium" w:cs="Futura Medium"/>
                                <w:b/>
                                <w:sz w:val="15"/>
                              </w:rPr>
                            </w:pPr>
                            <w:r>
                              <w:rPr>
                                <w:rFonts w:cs="Futura Medium" w:ascii="Futura Medium" w:hAnsi="Futura Medium"/>
                                <w:b/>
                                <w:sz w:val="15"/>
                              </w:rPr>
                              <w:t>WASHINGTON</w:t>
                            </w:r>
                          </w:p>
                        </w:tc>
                      </w:tr>
                    </w:tbl>
                    <w:p>
                      <w:pPr>
                        <w:pStyle w:val="Normal"/>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9">
                <wp:simplePos x="0" y="0"/>
                <wp:positionH relativeFrom="page">
                  <wp:posOffset>5029200</wp:posOffset>
                </wp:positionH>
                <wp:positionV relativeFrom="page">
                  <wp:posOffset>1554480</wp:posOffset>
                </wp:positionV>
                <wp:extent cx="2651760" cy="914400"/>
                <wp:effectExtent l="0" t="0" r="0" b="0"/>
                <wp:wrapNone/>
                <wp:docPr id="3" name="Frame1"/>
                <a:graphic xmlns:a="http://schemas.openxmlformats.org/drawingml/2006/main">
                  <a:graphicData uri="http://schemas.microsoft.com/office/word/2010/wordprocessingShape">
                    <wps:wsp>
                      <wps:cNvSpPr txBox="1"/>
                      <wps:spPr>
                        <a:xfrm>
                          <a:off x="0" y="0"/>
                          <a:ext cx="2651760" cy="914400"/>
                        </a:xfrm>
                        <a:prstGeom prst="rect"/>
                        <a:solidFill>
                          <a:srgbClr val="FFFFFF"/>
                        </a:solidFill>
                        <a:ln>
                          <a:solidFill>
                            <a:srgbClr val="FFFFFF"/>
                          </a:solidFill>
                        </a:ln>
                      </wps:spPr>
                      <wps:txbx>
                        <w:txbxContent>
                          <w:p>
                            <w:pPr>
                              <w:pStyle w:val="Normal"/>
                              <w:spacing w:lineRule="auto" w:line="216"/>
                              <w:rPr>
                                <w:rFonts w:ascii="Futura Book" w:hAnsi="Futura Book" w:cs="Futura Book"/>
                                <w:sz w:val="16"/>
                              </w:rPr>
                            </w:pPr>
                            <w:r>
                              <w:rPr>
                                <w:rFonts w:cs="Futura Book" w:ascii="Futura Book" w:hAnsi="Futura Book"/>
                                <w:sz w:val="16"/>
                              </w:rPr>
                            </w:r>
                            <w:bookmarkStart w:id="2" w:name="ELtrPers1"/>
                            <w:bookmarkStart w:id="3" w:name="ELtrPers1"/>
                            <w:bookmarkEnd w:id="3"/>
                          </w:p>
                        </w:txbxContent>
                      </wps:txbx>
                      <wps:bodyPr anchor="t" lIns="91440" tIns="45720" rIns="91440" bIns="45720">
                        <a:noAutofit/>
                      </wps:bodyPr>
                    </wps:wsp>
                  </a:graphicData>
                </a:graphic>
              </wp:anchor>
            </w:drawing>
          </mc:Choice>
          <mc:Fallback>
            <w:pict>
              <v:rect fillcolor="#FFFFFF" strokecolor="#FFFFFF" strokeweight="0pt" style="position:absolute;rotation:-0;width:208.8pt;height:72pt;mso-wrap-distance-left:9.05pt;mso-wrap-distance-right:9.05pt;mso-wrap-distance-top:0pt;mso-wrap-distance-bottom:0pt;margin-top:122.4pt;mso-position-vertical-relative:page;margin-left:396pt;mso-position-horizontal-relative:page">
                <v:textbox>
                  <w:txbxContent>
                    <w:p>
                      <w:pPr>
                        <w:pStyle w:val="Normal"/>
                        <w:spacing w:lineRule="auto" w:line="216"/>
                        <w:rPr>
                          <w:rFonts w:ascii="Futura Book" w:hAnsi="Futura Book" w:cs="Futura Book"/>
                          <w:sz w:val="16"/>
                        </w:rPr>
                      </w:pPr>
                      <w:r>
                        <w:rPr>
                          <w:rFonts w:cs="Futura Book" w:ascii="Futura Book" w:hAnsi="Futura Book"/>
                          <w:sz w:val="16"/>
                        </w:rPr>
                      </w:r>
                      <w:bookmarkStart w:id="4" w:name="ELtrPers1"/>
                      <w:bookmarkStart w:id="5" w:name="ELtrPers1"/>
                      <w:bookmarkEnd w:id="5"/>
                    </w:p>
                  </w:txbxContent>
                </v:textbox>
                <w10:wrap type="none"/>
              </v:rect>
            </w:pict>
          </mc:Fallback>
        </mc:AlternateContent>
      </w:r>
    </w:p>
    <w:p>
      <w:pPr>
        <w:pStyle w:val="Normal"/>
        <w:tabs>
          <w:tab w:val="clear" w:pos="720"/>
          <w:tab w:val="right" w:pos="8640" w:leader="none"/>
        </w:tabs>
        <w:rPr/>
      </w:pPr>
      <w:r>
        <w:rPr/>
      </w:r>
    </w:p>
    <w:p>
      <w:pPr>
        <w:pStyle w:val="MemorandumTitleBlock"/>
        <w:numPr>
          <w:ilvl w:val="0"/>
          <w:numId w:val="0"/>
        </w:numPr>
        <w:outlineLvl w:val="0"/>
        <w:rPr/>
      </w:pPr>
      <w:r>
        <w:rPr/>
        <w:t>MEMORANDUM</w:t>
      </w:r>
    </w:p>
    <w:tbl>
      <w:tblPr>
        <w:tblW w:w="9576" w:type="dxa"/>
        <w:jc w:val="start"/>
        <w:tblInd w:w="0" w:type="dxa"/>
        <w:tblLayout w:type="fixed"/>
        <w:tblCellMar>
          <w:top w:w="0" w:type="dxa"/>
          <w:start w:w="0" w:type="dxa"/>
          <w:bottom w:w="0" w:type="dxa"/>
          <w:end w:w="0" w:type="dxa"/>
        </w:tblCellMar>
      </w:tblPr>
      <w:tblGrid>
        <w:gridCol w:w="1458"/>
        <w:gridCol w:w="8118"/>
      </w:tblGrid>
      <w:tr>
        <w:trPr/>
        <w:tc>
          <w:tcPr>
            <w:tcW w:w="1458" w:type="dxa"/>
            <w:tcBorders/>
          </w:tcPr>
          <w:p>
            <w:pPr>
              <w:pStyle w:val="Normal"/>
              <w:rPr/>
            </w:pPr>
            <w:r>
              <w:rPr/>
              <w:t>TO:</w:t>
            </w:r>
          </w:p>
        </w:tc>
        <w:tc>
          <w:tcPr>
            <w:tcW w:w="8118" w:type="dxa"/>
            <w:tcBorders/>
          </w:tcPr>
          <w:p>
            <w:pPr>
              <w:pStyle w:val="Normal"/>
              <w:rPr/>
            </w:pPr>
            <w:bookmarkStart w:id="6" w:name="Recipient"/>
            <w:bookmarkEnd w:id="6"/>
            <w:r>
              <w:rPr/>
              <w:t>Mark Metts</w:t>
            </w:r>
          </w:p>
        </w:tc>
      </w:tr>
      <w:tr>
        <w:trPr/>
        <w:tc>
          <w:tcPr>
            <w:tcW w:w="1458" w:type="dxa"/>
            <w:tcBorders/>
          </w:tcPr>
          <w:p>
            <w:pPr>
              <w:pStyle w:val="Normal"/>
              <w:tabs>
                <w:tab w:val="clear" w:pos="720"/>
                <w:tab w:val="right" w:pos="8640" w:leader="none"/>
              </w:tabs>
              <w:snapToGrid w:val="false"/>
              <w:rPr/>
            </w:pPr>
            <w:r>
              <w:rPr/>
            </w:r>
          </w:p>
        </w:tc>
        <w:tc>
          <w:tcPr>
            <w:tcW w:w="8118" w:type="dxa"/>
            <w:tcBorders/>
          </w:tcPr>
          <w:p>
            <w:pPr>
              <w:pStyle w:val="Normal"/>
              <w:tabs>
                <w:tab w:val="clear" w:pos="720"/>
                <w:tab w:val="right" w:pos="8640" w:leader="none"/>
              </w:tabs>
              <w:snapToGrid w:val="false"/>
              <w:rPr/>
            </w:pPr>
            <w:r>
              <w:rPr/>
            </w:r>
          </w:p>
        </w:tc>
      </w:tr>
      <w:tr>
        <w:trPr/>
        <w:tc>
          <w:tcPr>
            <w:tcW w:w="1458" w:type="dxa"/>
            <w:tcBorders/>
          </w:tcPr>
          <w:p>
            <w:pPr>
              <w:pStyle w:val="Normal"/>
              <w:tabs>
                <w:tab w:val="clear" w:pos="720"/>
                <w:tab w:val="right" w:pos="8640" w:leader="none"/>
              </w:tabs>
              <w:rPr/>
            </w:pPr>
            <w:r>
              <w:rPr/>
              <w:t>FROM:</w:t>
            </w:r>
          </w:p>
        </w:tc>
        <w:tc>
          <w:tcPr>
            <w:tcW w:w="8118" w:type="dxa"/>
            <w:tcBorders/>
          </w:tcPr>
          <w:p>
            <w:pPr>
              <w:pStyle w:val="Normal"/>
              <w:tabs>
                <w:tab w:val="clear" w:pos="720"/>
                <w:tab w:val="right" w:pos="8640" w:leader="none"/>
              </w:tabs>
              <w:rPr/>
            </w:pPr>
            <w:bookmarkStart w:id="7" w:name="Author"/>
            <w:bookmarkEnd w:id="7"/>
            <w:r>
              <w:rPr/>
              <w:t xml:space="preserve">Joanne C. Rutkowski </w:t>
            </w:r>
          </w:p>
          <w:p>
            <w:pPr>
              <w:pStyle w:val="Normal"/>
              <w:tabs>
                <w:tab w:val="clear" w:pos="720"/>
                <w:tab w:val="right" w:pos="8640" w:leader="none"/>
              </w:tabs>
              <w:rPr/>
            </w:pPr>
            <w:r>
              <w:rPr/>
              <w:t>Suhail A. Partawi</w:t>
            </w:r>
          </w:p>
        </w:tc>
      </w:tr>
      <w:tr>
        <w:trPr/>
        <w:tc>
          <w:tcPr>
            <w:tcW w:w="1458" w:type="dxa"/>
            <w:tcBorders/>
          </w:tcPr>
          <w:p>
            <w:pPr>
              <w:pStyle w:val="Normal"/>
              <w:tabs>
                <w:tab w:val="clear" w:pos="720"/>
                <w:tab w:val="right" w:pos="8640" w:leader="none"/>
              </w:tabs>
              <w:snapToGrid w:val="false"/>
              <w:rPr/>
            </w:pPr>
            <w:r>
              <w:rPr/>
            </w:r>
          </w:p>
        </w:tc>
        <w:tc>
          <w:tcPr>
            <w:tcW w:w="8118" w:type="dxa"/>
            <w:tcBorders/>
          </w:tcPr>
          <w:p>
            <w:pPr>
              <w:pStyle w:val="Normal"/>
              <w:tabs>
                <w:tab w:val="clear" w:pos="720"/>
                <w:tab w:val="right" w:pos="8640" w:leader="none"/>
              </w:tabs>
              <w:snapToGrid w:val="false"/>
              <w:rPr/>
            </w:pPr>
            <w:r>
              <w:rPr/>
            </w:r>
          </w:p>
        </w:tc>
      </w:tr>
      <w:tr>
        <w:trPr/>
        <w:tc>
          <w:tcPr>
            <w:tcW w:w="1458" w:type="dxa"/>
            <w:tcBorders/>
          </w:tcPr>
          <w:p>
            <w:pPr>
              <w:pStyle w:val="Normal"/>
              <w:tabs>
                <w:tab w:val="clear" w:pos="720"/>
                <w:tab w:val="right" w:pos="8640" w:leader="none"/>
              </w:tabs>
              <w:rPr/>
            </w:pPr>
            <w:r>
              <w:rPr/>
              <w:t>RE:</w:t>
            </w:r>
          </w:p>
        </w:tc>
        <w:tc>
          <w:tcPr>
            <w:tcW w:w="8118" w:type="dxa"/>
            <w:tcBorders/>
          </w:tcPr>
          <w:p>
            <w:pPr>
              <w:pStyle w:val="Normal"/>
              <w:tabs>
                <w:tab w:val="clear" w:pos="720"/>
                <w:tab w:val="right" w:pos="8640" w:leader="none"/>
              </w:tabs>
              <w:rPr/>
            </w:pPr>
            <w:bookmarkStart w:id="8" w:name="Subject"/>
            <w:bookmarkEnd w:id="8"/>
            <w:r>
              <w:rPr/>
              <w:t>Project Twist</w:t>
            </w:r>
          </w:p>
        </w:tc>
      </w:tr>
    </w:tbl>
    <w:p>
      <w:pPr>
        <w:pStyle w:val="Normal"/>
        <w:rPr/>
      </w:pPr>
      <w:r>
        <w:rPr/>
      </w:r>
    </w:p>
    <w:p>
      <w:pPr>
        <w:pStyle w:val="NormalIndent"/>
        <w:rPr/>
      </w:pPr>
      <w:bookmarkStart w:id="9" w:name="Text"/>
      <w:bookmarkEnd w:id="9"/>
      <w:r>
        <w:rPr/>
        <w:t>This memorandum provides a preliminary analysis of the issues that might arise under the Public Utility Holding Company Act of 1935 (the "1935 Act" or "Act") in connection with the proposed sale by Enron Corp. ("Enron") of Portland General Electric Company ("PGE") to a new Northwest Holdco ("Holdco") ("Project Twist").  This preliminary analysis is based on a review of (i) the draft Term Sheet relating to the Project Twist stock purchase agreement ("SPA Term Sheet") and (ii) the preliminary draft Summary Term Sheet for the Holdco Preferred FELINE PRIDES dated August 8, 2001 ("FELINE PRIDES Term Sheet" and, together with the SPA Term Sheet, the "Term Sheets"), e-mailed to us on August 9, 2001 by Doug McWilliams of V&amp;E, and further based on conversations with Mr. McWilliams, Adam Wenner, Trina Chandler, and Keith Fullenweider also of V&amp;E, and Kristina Mordaunt of Enron.</w:t>
      </w:r>
    </w:p>
    <w:p>
      <w:pPr>
        <w:pStyle w:val="NormalIndent"/>
        <w:ind w:hanging="0" w:end="0"/>
        <w:rPr>
          <w:i/>
          <w:i/>
        </w:rPr>
      </w:pPr>
      <w:r>
        <w:rPr>
          <w:i/>
        </w:rPr>
        <w:t>Background</w:t>
      </w:r>
    </w:p>
    <w:p>
      <w:pPr>
        <w:pStyle w:val="Normal"/>
        <w:rPr/>
      </w:pPr>
      <w:r>
        <w:rPr/>
        <w:tab/>
        <w:tab/>
        <w:t>Enron is a public utility holding company within the meaning of the 1935 Act, by reason of its ownership of all of the outstanding voting securities of PGE.  Enron claims exemption from registration with the Securities and Exchange Commission ("Commission") pursuant to Rule 2 under Section 3(a)(1) of the 1935 Act.  It has also filed an application for an order of exemption under Section 3(a)(3) or, in the alternative, Section 3(a)(5) of the Act (the "Section 3(a)(5) Application").  Pursuant to Section 3(c) of the Act, Enron enjoys a temporary exemption, pending Commission action on the Section 3(a)(5) Application.</w:t>
      </w:r>
    </w:p>
    <w:p>
      <w:pPr>
        <w:pStyle w:val="Normal"/>
        <w:rPr/>
      </w:pPr>
      <w:r>
        <w:rPr/>
      </w:r>
    </w:p>
    <w:p>
      <w:pPr>
        <w:pStyle w:val="Normal"/>
        <w:rPr/>
      </w:pPr>
      <w:r>
        <w:rPr/>
        <w:tab/>
        <w:tab/>
        <w:t>Holdco will qualify for exemption pursuant to Section 3(a)(1) of the Act.</w:t>
      </w:r>
    </w:p>
    <w:p>
      <w:pPr>
        <w:pStyle w:val="Normal"/>
        <w:rPr/>
      </w:pPr>
      <w:r>
        <w:rPr/>
      </w:r>
    </w:p>
    <w:p>
      <w:pPr>
        <w:pStyle w:val="Normal"/>
        <w:rPr/>
      </w:pPr>
      <w:r>
        <w:rPr/>
        <w:tab/>
        <w:tab/>
        <w:t>The Term Sheets contemplate that, as part of the consideration for the sale of PGE to Holdco, Enron will receive a combination of Holdco securities with face value of $325 million.  These securities will comprise: (i) $30 million of Class A Common Stock, (ii) $95 million of non-voting Class B Common Stock, and (iii) $200 million face amount of FELINE PRIDES (collectively, the "Holdco Securities").  The face value of these securities will represent approximately 25% of the equity of Holdco.</w:t>
      </w:r>
    </w:p>
    <w:p>
      <w:pPr>
        <w:pStyle w:val="Normal"/>
        <w:rPr/>
      </w:pPr>
      <w:r>
        <w:rPr/>
      </w:r>
    </w:p>
    <w:p>
      <w:pPr>
        <w:pStyle w:val="Normal"/>
        <w:rPr/>
      </w:pPr>
      <w:r>
        <w:rPr/>
        <w:tab/>
        <w:tab/>
        <w:t>As currently drafted, the Term Sheets contemplate that Enron will hold up to 4.9% of the Class A Common Stock, which will have standard common stock voting rights.</w:t>
      </w:r>
    </w:p>
    <w:p>
      <w:pPr>
        <w:pStyle w:val="Normal"/>
        <w:rPr/>
      </w:pPr>
      <w:r>
        <w:rPr/>
      </w:r>
    </w:p>
    <w:p>
      <w:pPr>
        <w:pStyle w:val="Normal"/>
        <w:rPr/>
      </w:pPr>
      <w:r>
        <w:rPr/>
        <w:tab/>
        <w:tab/>
        <w:t>The Class B Common Stock will participate in any dividend paid on the Class A Common Stock, and will automatically convert to Class A Common Stock upon repeal of the Act or transfer of the shares to a person that is not affiliated with Enron.  There will be a two-year period during which Enron will not be able to sell the Class B securities other than pursuant to any piggyback registration rights (or in connection with a monetization transaction).</w:t>
      </w:r>
    </w:p>
    <w:p>
      <w:pPr>
        <w:pStyle w:val="Normal"/>
        <w:rPr/>
      </w:pPr>
      <w:r>
        <w:rPr/>
      </w:r>
    </w:p>
    <w:p>
      <w:pPr>
        <w:pStyle w:val="Normal"/>
        <w:rPr/>
      </w:pPr>
      <w:r>
        <w:rPr/>
        <w:tab/>
        <w:tab/>
        <w:t>Each unit of FELINE PRIDES will initially consist of a forward purchase stock contract (the "Purchase Contract") under which the holder will purchase shares of Class B Common Stock on the Purchase Contract Settlement Date, and a Holdco Cumulative Preferred Share, with a stated liquidation value of $50, that may be delivered in settlement of the Purchase Contract.  The Purchase Contract Settlement Date will fall four years after the Closing Date.</w:t>
      </w:r>
    </w:p>
    <w:p>
      <w:pPr>
        <w:pStyle w:val="Normal"/>
        <w:rPr/>
      </w:pPr>
      <w:r>
        <w:rPr/>
      </w:r>
    </w:p>
    <w:p>
      <w:pPr>
        <w:pStyle w:val="Normal"/>
        <w:rPr/>
      </w:pPr>
      <w:r>
        <w:rPr/>
        <w:tab/>
        <w:tab/>
        <w:t>It is our understanding that Enron will seek to monetize the Holdco Securities.  The form of the monetization transaction has yet to be determined but could involve the transfer of the Holdco Securities to an Enron affiliate or a special-purpose monetization vehicle.</w:t>
      </w:r>
    </w:p>
    <w:p>
      <w:pPr>
        <w:pStyle w:val="Normal"/>
        <w:rPr/>
      </w:pPr>
      <w:r>
        <w:rPr/>
      </w:r>
    </w:p>
    <w:p>
      <w:pPr>
        <w:pStyle w:val="Normal"/>
        <w:rPr/>
      </w:pPr>
      <w:r>
        <w:rPr/>
        <w:tab/>
        <w:tab/>
        <w:t>Under the Shareholders Agreement, so long as Enron owns a specified amount of the Cumulative Preferred Shares or percentage of the Class A and Class B Common Stock, taken as a whole, it will be entitled to designate one observer and a certain number of persons for election to the Holdco board of directors (the "Board"), and a proportionate number of Board members (and in no event less than one member) to the Executive and Audit Committee and each Holdco subsidiary board of directors.</w:t>
      </w:r>
    </w:p>
    <w:p>
      <w:pPr>
        <w:pStyle w:val="Normal"/>
        <w:rPr/>
      </w:pPr>
      <w:r>
        <w:rPr/>
      </w:r>
    </w:p>
    <w:p>
      <w:pPr>
        <w:pStyle w:val="Normal"/>
        <w:rPr/>
      </w:pPr>
      <w:r>
        <w:rPr/>
        <w:tab/>
        <w:tab/>
        <w:t xml:space="preserve">Also in these circumstances, Holdco must obtain Enron's approval before engaging in certain defined transactions.  </w:t>
      </w:r>
    </w:p>
    <w:p>
      <w:pPr>
        <w:pStyle w:val="Normal"/>
        <w:rPr/>
      </w:pPr>
      <w:r>
        <w:rPr/>
      </w:r>
    </w:p>
    <w:p>
      <w:pPr>
        <w:pStyle w:val="Normal"/>
        <w:rPr>
          <w:i/>
          <w:i/>
        </w:rPr>
      </w:pPr>
      <w:r>
        <w:rPr>
          <w:i/>
        </w:rPr>
        <w:t>Overview of Possible Approaches</w:t>
      </w:r>
    </w:p>
    <w:p>
      <w:pPr>
        <w:pStyle w:val="Normal"/>
        <w:rPr>
          <w:i/>
          <w:i/>
        </w:rPr>
      </w:pPr>
      <w:r>
        <w:rPr>
          <w:i/>
        </w:rPr>
      </w:r>
    </w:p>
    <w:p>
      <w:pPr>
        <w:pStyle w:val="Normal"/>
        <w:rPr/>
      </w:pPr>
      <w:r>
        <w:rPr/>
        <w:tab/>
        <w:tab/>
        <w:t>We have considered the three possible approaches discussed below but have concluded, on balance, that the acquisition of up to 4.9% of the Holdco Class A Common Stock appears to offer Enron the greatest flexibility in connection with a possible monetization transaction:</w:t>
      </w:r>
    </w:p>
    <w:p>
      <w:pPr>
        <w:pStyle w:val="Normal"/>
        <w:rPr/>
      </w:pPr>
      <w:r>
        <w:rPr/>
      </w:r>
    </w:p>
    <w:p>
      <w:pPr>
        <w:pStyle w:val="Normal"/>
        <w:rPr/>
      </w:pPr>
      <w:r>
        <w:rPr/>
        <w:t>1.</w:t>
        <w:tab/>
      </w:r>
      <w:r>
        <w:rPr>
          <w:i/>
        </w:rPr>
        <w:t>Section 3(a)(5) Exemption</w:t>
      </w:r>
      <w:r>
        <w:rPr/>
        <w:t xml:space="preserve"> – Under this approach, Enron would not be restricted as to voting rights or board representation.  It would join as an applicant with Holdco in the acquisition application.  To the extent Enron's voting interest in Holdco were to equal or exceed 10%, it would amend its Section 3(a)(5) Application to seek an exemption with respect to its minority interest in the combined entity.  We raise this approach for discussion purposes and understand that it could create difficulties if, for example, the monetization strategy involved transfer of the Holdco securities to a third party.  We would, however, be happy to discuss this strategy if you think it might prove helpful.</w:t>
      </w:r>
    </w:p>
    <w:p>
      <w:pPr>
        <w:pStyle w:val="Normal"/>
        <w:rPr/>
      </w:pPr>
      <w:r>
        <w:rPr/>
      </w:r>
    </w:p>
    <w:p>
      <w:pPr>
        <w:pStyle w:val="Normal"/>
        <w:rPr/>
      </w:pPr>
      <w:r>
        <w:rPr/>
        <w:t>2.</w:t>
        <w:tab/>
      </w:r>
      <w:r>
        <w:rPr>
          <w:i/>
        </w:rPr>
        <w:t>Ownership of Up to 9.9% of Class A Common Stock</w:t>
      </w:r>
      <w:r>
        <w:rPr/>
        <w:t xml:space="preserve"> – Enron could acquire up to 9.9% of the Class A Common Stock of Holdco.  Under this approach, Enron would join with Holdco as an applicant on the acquisition application.  The transaction would be structured, however, so that Enron would not be a holding company with respect to Holdco.  Under the Commission staff (the "Staff") no-action letters, this approach would more readily justify the degree of board representation contemplated by the Term Sheets.  One drawback to this approach is that, if ownership of the Holdco Securities is transferred to a monetization vehicle, that entity may independently require Commission approval.</w:t>
      </w:r>
    </w:p>
    <w:p>
      <w:pPr>
        <w:pStyle w:val="Normal"/>
        <w:rPr/>
      </w:pPr>
      <w:r>
        <w:rPr/>
      </w:r>
    </w:p>
    <w:p>
      <w:pPr>
        <w:pStyle w:val="Normal"/>
        <w:rPr/>
      </w:pPr>
      <w:r>
        <w:rPr/>
        <w:t>3.</w:t>
        <w:tab/>
      </w:r>
      <w:r>
        <w:rPr>
          <w:i/>
        </w:rPr>
        <w:t xml:space="preserve">Ownership of Up to 4.9% of Class A Common Stock </w:t>
      </w:r>
      <w:r>
        <w:rPr/>
        <w:t>– Under this approach, Enron would not be required to join in the application for acquisition approval.   It would, however, seek a no-action letter in connection with its ownership of the Holdco securities.  As discussed below, this approach would be exceptional only with respect to the nature and degree of board representation sought by Enron.  We believe, however, that there are special circumstances, most notably, the volatile situation on the West Coast and the fact that Enron has a defined exit strategy, which would justify the structure.</w:t>
      </w:r>
    </w:p>
    <w:p>
      <w:pPr>
        <w:pStyle w:val="Normal"/>
        <w:rPr/>
      </w:pPr>
      <w:r>
        <w:rPr/>
      </w:r>
    </w:p>
    <w:p>
      <w:pPr>
        <w:pStyle w:val="Normal"/>
        <w:rPr>
          <w:i/>
          <w:i/>
        </w:rPr>
      </w:pPr>
      <w:r>
        <w:rPr>
          <w:i/>
        </w:rPr>
        <w:t>Analysis</w:t>
      </w:r>
    </w:p>
    <w:p>
      <w:pPr>
        <w:pStyle w:val="Normal"/>
        <w:rPr>
          <w:i/>
          <w:i/>
        </w:rPr>
      </w:pPr>
      <w:r>
        <w:rPr>
          <w:i/>
        </w:rPr>
      </w:r>
    </w:p>
    <w:p>
      <w:pPr>
        <w:pStyle w:val="Normal"/>
        <w:rPr/>
      </w:pPr>
      <w:r>
        <w:rPr/>
        <w:tab/>
        <w:tab/>
        <w:t xml:space="preserve">For purposes of analysis, we are assuming that Enron acquires up to 4.9% of the Class A Common Stock, and has the right to appoint (i) an observer and two members of each of (x) the Holdco Board and (y) each subsidiary board, and (ii) at least one member of the Holdco Board Executive and Audit Committees.  </w:t>
      </w:r>
    </w:p>
    <w:p>
      <w:pPr>
        <w:pStyle w:val="Normal"/>
        <w:rPr/>
      </w:pPr>
      <w:r>
        <w:rPr/>
      </w:r>
    </w:p>
    <w:p>
      <w:pPr>
        <w:pStyle w:val="Normal"/>
        <w:rPr/>
      </w:pPr>
      <w:r>
        <w:rPr/>
        <w:tab/>
      </w:r>
      <w:r>
        <w:rPr>
          <w:i/>
        </w:rPr>
        <w:t xml:space="preserve">Enron will not need acquisition approval under Section 9(a)(2) of the Act.  </w:t>
      </w:r>
    </w:p>
    <w:p>
      <w:pPr>
        <w:pStyle w:val="Normal"/>
        <w:rPr/>
      </w:pPr>
      <w:r>
        <w:rPr/>
      </w:r>
    </w:p>
    <w:p>
      <w:pPr>
        <w:pStyle w:val="Normal"/>
        <w:rPr/>
      </w:pPr>
      <w:r>
        <w:rPr/>
        <w:tab/>
        <w:tab/>
        <w:t>Under Section 9(a)(2), the so-called "two-bite" rule, prior Commission approval is required for a transaction that results in affiliation with – that is, ownership of five percent or more of the voting securities of – more than one public utility company.  Thus, Enron's post-transaction ownership of 4.9% of the voting securities of Holdco's wholly-owned utility subsidiaries, Northwest and PGE, would not subject Enron to Section 9(a)(2)'s approval requirements.</w:t>
      </w:r>
    </w:p>
    <w:p>
      <w:pPr>
        <w:pStyle w:val="Normal"/>
        <w:rPr/>
      </w:pPr>
      <w:r>
        <w:rPr/>
      </w:r>
    </w:p>
    <w:p>
      <w:pPr>
        <w:pStyle w:val="Normal"/>
        <w:jc w:val="both"/>
        <w:rPr/>
      </w:pPr>
      <w:r>
        <w:rPr/>
        <w:tab/>
        <w:tab/>
        <w:t xml:space="preserve">The Class B Common Stock to be acquired by Enron will be non-voting; and, it appears that the Cumulative Preferred Shares will not be "voting securities" within the meaning of the Act.  Section 2(a)(17) defines a voting security as “any security </w:t>
      </w:r>
      <w:r>
        <w:rPr>
          <w:i/>
        </w:rPr>
        <w:t>presently</w:t>
      </w:r>
      <w:r>
        <w:rPr/>
        <w:t xml:space="preserve"> entitling the owner or holder thereof to vote in the direction or management of the affairs of a company.” (emphasis added).  The consent rights to be reserved to Enron (whether granted under a shareholders agreement or by virtue of its ownership of the Cumulative Preferred Shares) are consistent with approval or veto rights that have been permitted under Staff no-action letters.  In the Berkshire Hathaway, Inc. and SW Acquisition, L.P. no-action letters, the Staff agreed that approval rights which are in the nature of “protection of investment” (such as those contemplated in the Term Sheets), as opposed those that would allow affirmative control over, or other influence on, the day-to-day operations or the actions of the management of Holdco, are permitted.</w:t>
      </w:r>
    </w:p>
    <w:p>
      <w:pPr>
        <w:pStyle w:val="Normal"/>
        <w:rPr/>
      </w:pPr>
      <w:r>
        <w:rPr/>
      </w:r>
    </w:p>
    <w:p>
      <w:pPr>
        <w:pStyle w:val="Normal"/>
        <w:rPr/>
      </w:pPr>
      <w:r>
        <w:rPr/>
        <w:tab/>
      </w:r>
      <w:r>
        <w:rPr>
          <w:i/>
        </w:rPr>
        <w:t>Enron should not be deemed to be a holding company.</w:t>
      </w:r>
    </w:p>
    <w:p>
      <w:pPr>
        <w:pStyle w:val="Normal"/>
        <w:rPr>
          <w:i/>
          <w:i/>
        </w:rPr>
      </w:pPr>
      <w:r>
        <w:rPr>
          <w:i/>
        </w:rPr>
        <w:t xml:space="preserve">  </w:t>
      </w:r>
    </w:p>
    <w:p>
      <w:pPr>
        <w:pStyle w:val="Normal"/>
        <w:rPr/>
      </w:pPr>
      <w:r>
        <w:rPr/>
        <w:tab/>
        <w:tab/>
        <w:t xml:space="preserve">Section 2(a)(7)(A) of the Act defines a "holding company" as any company that owns, or holds with the power to vote, 10 percent or more of the outstanding voting securities of a public-utility company or holding company.   Because it will own less than 10% of the outstanding voting securities of Holdco, Enron will not be presumed to be a “holding company” under the Act following consummation of the transaction for sale of PGE.  </w:t>
      </w:r>
    </w:p>
    <w:p>
      <w:pPr>
        <w:pStyle w:val="Normal"/>
        <w:rPr/>
      </w:pPr>
      <w:r>
        <w:rPr/>
      </w:r>
    </w:p>
    <w:p>
      <w:pPr>
        <w:pStyle w:val="Normal"/>
        <w:rPr/>
      </w:pPr>
      <w:r>
        <w:rPr/>
        <w:tab/>
        <w:tab/>
        <w:t xml:space="preserve">Under Section 2(a)(7)(B) of the Act, the Commission can deem an entity to be a holding company if it determines, after notice and an opportunity for hearing, that the entity, directly or indirectly, exercises "such a controlling influence over the management or policies of any public-utility company or holding company as to make it necessary or appropriate in the public interest or for the protection of investors or consumers that such person be subject to the obligations, duties, and liabilities imposed in this title upon holding companies."  The Staff will consider a number of other factors, including approval rights and board representation, in considering whether Enron has the ability to exercise an impermissible “controlling influence” over Holdco or its subsidiaries.  </w:t>
      </w:r>
    </w:p>
    <w:p>
      <w:pPr>
        <w:pStyle w:val="Normal"/>
        <w:jc w:val="both"/>
        <w:rPr/>
      </w:pPr>
      <w:r>
        <w:rPr/>
      </w:r>
    </w:p>
    <w:p>
      <w:pPr>
        <w:pStyle w:val="Normal"/>
        <w:jc w:val="both"/>
        <w:rPr/>
      </w:pPr>
      <w:r>
        <w:rPr/>
        <w:tab/>
        <w:tab/>
        <w:t>For the same reasons (discussed above), that they would not equate the "Consent Rights" with true voting rights for purposes of the Act, we do not anticipate that the Staff would find the "Consent Rights" excessive, in and of themselves.</w:t>
      </w:r>
    </w:p>
    <w:p>
      <w:pPr>
        <w:pStyle w:val="Normal"/>
        <w:jc w:val="both"/>
        <w:rPr/>
      </w:pPr>
      <w:r>
        <w:rPr/>
      </w:r>
    </w:p>
    <w:p>
      <w:pPr>
        <w:pStyle w:val="NormalIndent"/>
        <w:spacing w:before="0" w:after="0"/>
        <w:ind w:hanging="0" w:end="0"/>
        <w:rPr/>
      </w:pPr>
      <w:r>
        <w:rPr/>
        <w:tab/>
        <w:tab/>
        <w:t xml:space="preserve">The more difficult question is how the Staff would view the proposed board representation.  On the one hand, the rule of thumb generally is that the number of directors should be proportional to the underlying voting interest.  In the Berkshire Hathaway letter, for example, the Staff accepted the argument that the power to appoint two out of ten directors of the target company was consistent with ownership by Berkshire of 9.9% of the voting securities of the target company.  Under this approach, a 4.9% voting interest would justify the ability to appoint approximately 10% of the members of the Holdco Board.  Further, we are not aware of any matter in which a "passive" owner had the further right to designate a proportionate number of board members (which, in no event, would be less than one) to the committees of the target's board of directors (here, the Executive and Audit Committees of the Holdco Board) and to each target subsidiary board of directors, as contemplated by the Term Sheets.  </w:t>
      </w:r>
    </w:p>
    <w:p>
      <w:pPr>
        <w:pStyle w:val="NormalIndent"/>
        <w:spacing w:before="0" w:after="0"/>
        <w:ind w:hanging="0" w:end="0"/>
        <w:rPr/>
      </w:pPr>
      <w:r>
        <w:rPr/>
      </w:r>
    </w:p>
    <w:p>
      <w:pPr>
        <w:pStyle w:val="NormalIndent"/>
        <w:spacing w:before="0" w:after="0"/>
        <w:ind w:hanging="0" w:end="0"/>
        <w:rPr/>
      </w:pPr>
      <w:r>
        <w:rPr/>
        <w:tab/>
        <w:tab/>
        <w:t>That said, there is precedent for excusing temporary noncompliance with Commission standards when the ultimate effect will be compliance with the Act.  Most recently in its order approving the acquisition by AES Corporation of IPALCO, Inc., the Commission granted the applicant an exemption from registration conditioned upon the company’s divestiture of certain interests within two years of the date of consummation of the transaction.  Although there was a temporary variance from the standards for exemption, the Commission noted that it had, in other contexts, “relaxed the strict requirements of the Act and granted temporary relief, where the overall consequence is to make nearer the ultimate goal of compliance.”</w:t>
      </w:r>
      <w:r>
        <w:rPr>
          <w:rStyle w:val="FootnoteCharacters"/>
          <w:rStyle w:val="FootnoteReference"/>
        </w:rPr>
        <w:footnoteReference w:id="2"/>
      </w:r>
      <w:r>
        <w:rPr/>
        <w:t xml:space="preserve">  </w:t>
      </w:r>
    </w:p>
    <w:p>
      <w:pPr>
        <w:pStyle w:val="NormalIndent"/>
        <w:spacing w:before="0" w:after="0"/>
        <w:ind w:hanging="0" w:end="0"/>
        <w:rPr/>
      </w:pPr>
      <w:r>
        <w:rPr/>
      </w:r>
    </w:p>
    <w:p>
      <w:pPr>
        <w:pStyle w:val="NormalIndent"/>
        <w:spacing w:before="0" w:after="0"/>
        <w:ind w:hanging="0" w:end="0"/>
        <w:rPr/>
      </w:pPr>
      <w:r>
        <w:rPr/>
        <w:tab/>
        <w:tab/>
        <w:t>The argument here would be that Enron is providing seller financing to facilitate a transaction that the state wants.  The rights are commensurate with the capital that Enron has at risk in this transaction.  They are temporary in nature and will fall away as Enron reduces its interest pursuant to a defined exit strategy.</w:t>
      </w:r>
      <w:bookmarkStart w:id="10" w:name="newFNOpenTemp"/>
      <w:bookmarkEnd w:id="10"/>
      <w:r>
        <w:rPr>
          <w:rStyle w:val="FootnoteCharacters"/>
          <w:rStyle w:val="FootnoteReference"/>
        </w:rPr>
        <w:footnoteReference w:id="3"/>
      </w:r>
      <w:r>
        <w:rPr/>
        <w:t xml:space="preserve">  Finally, here, as in </w:t>
      </w:r>
      <w:r>
        <w:rPr>
          <w:i/>
        </w:rPr>
        <w:t>AES</w:t>
      </w:r>
      <w:r>
        <w:rPr/>
        <w:t xml:space="preserve">, there will a significant  degree of state involvement that will tend to ensure, in particular, that there is no detriment to the interests of consumers during this interim period.  </w:t>
      </w:r>
    </w:p>
    <w:p>
      <w:pPr>
        <w:pStyle w:val="NormalIndent"/>
        <w:spacing w:before="0" w:after="0"/>
        <w:ind w:hanging="0" w:end="0"/>
        <w:rPr/>
      </w:pPr>
      <w:r>
        <w:rPr/>
      </w:r>
    </w:p>
    <w:p>
      <w:pPr>
        <w:pStyle w:val="NormalIndent"/>
        <w:spacing w:before="0" w:after="0"/>
        <w:ind w:hanging="0" w:end="0"/>
        <w:rPr>
          <w:i/>
          <w:i/>
        </w:rPr>
      </w:pPr>
      <w:r>
        <w:rPr>
          <w:i/>
        </w:rPr>
        <w:t>Conclusion</w:t>
      </w:r>
    </w:p>
    <w:p>
      <w:pPr>
        <w:pStyle w:val="NormalIndent"/>
        <w:spacing w:before="0" w:after="0"/>
        <w:ind w:hanging="0" w:end="0"/>
        <w:rPr/>
      </w:pPr>
      <w:r>
        <w:rPr/>
      </w:r>
    </w:p>
    <w:p>
      <w:pPr>
        <w:pStyle w:val="NormalIndent"/>
        <w:spacing w:before="0" w:after="0"/>
        <w:ind w:hanging="0" w:end="0"/>
        <w:rPr/>
      </w:pPr>
      <w:r>
        <w:rPr/>
        <w:tab/>
        <w:tab/>
        <w:t>The acquisition of 4.9% Class A Common Stock as part of the Holdco Securities would minimize formal regulatory review at the Commission and, we understand, the Oregon Commission.  We do, however, recommend that Enron seek a no-action letter in which the Staff concurs in the proposed ownership structure.  While we cannot guarantee the outcome, in view of the unique circumstances of this transaction and the temporary nature of Enron's holdings, we believe that the Staff should accept the proposal substantially in the form outlined above.</w:t>
      </w:r>
    </w:p>
    <w:p>
      <w:pPr>
        <w:pStyle w:val="NormalIndent"/>
        <w:spacing w:before="0" w:after="0"/>
        <w:ind w:hanging="0" w:end="0"/>
        <w:rPr/>
      </w:pPr>
      <w:r>
        <w:rPr/>
        <w:t xml:space="preserve">  </w:t>
      </w:r>
    </w:p>
    <w:p>
      <w:pPr>
        <w:pStyle w:val="NormalIndent"/>
        <w:ind w:hanging="0" w:end="0"/>
        <w:rPr/>
      </w:pPr>
      <w:r>
        <w:rPr/>
        <w:tab/>
        <w:tab/>
        <w:t>This memorandum represents our preliminary views.  We look forward to working with you to develop an effective and efficient approach that best addresses Enron's concerns.</w:t>
      </w:r>
    </w:p>
    <w:p>
      <w:pPr>
        <w:pStyle w:val="NormalIndent"/>
        <w:ind w:hanging="0" w:end="0"/>
        <w:rPr/>
      </w:pPr>
      <w:r>
        <w:rPr/>
        <w:tab/>
        <w:tab/>
        <w:tab/>
        <w:tab/>
        <w:tab/>
        <w:tab/>
        <w:tab/>
        <w:t>JCR</w:t>
        <w:br/>
        <w:tab/>
        <w:tab/>
        <w:tab/>
        <w:tab/>
        <w:tab/>
        <w:tab/>
        <w:tab/>
        <w:t>SAP</w:t>
      </w:r>
    </w:p>
    <w:p>
      <w:pPr>
        <w:pStyle w:val="NormalIndent"/>
        <w:spacing w:before="0" w:after="240"/>
        <w:ind w:hanging="0" w:end="0"/>
        <w:rPr/>
      </w:pPr>
      <w:r>
        <w:rPr/>
        <w:tab/>
        <w:tab/>
        <w:tab/>
        <w:tab/>
        <w:tab/>
        <w:tab/>
        <w:tab/>
        <w:tab/>
      </w:r>
    </w:p>
    <w:sectPr>
      <w:headerReference w:type="default" r:id="rId3"/>
      <w:headerReference w:type="first" r:id="rId4"/>
      <w:footerReference w:type="default" r:id="rId5"/>
      <w:footerReference w:type="first" r:id="rId6"/>
      <w:footnotePr>
        <w:numFmt w:val="decimal"/>
      </w:footnotePr>
      <w:type w:val="nextPage"/>
      <w:pgSz w:w="12240" w:h="15840"/>
      <w:pgMar w:left="1800" w:right="1080" w:gutter="0" w:header="1584" w:top="16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Futura Light">
    <w:charset w:val="00" w:characterSet="windows-1252"/>
    <w:family w:val="swiss"/>
    <w:pitch w:val="variable"/>
  </w:font>
  <w:font w:name="Futura Medium">
    <w:charset w:val="00" w:characterSet="windows-1252"/>
    <w:family w:val="swiss"/>
    <w:pitch w:val="variable"/>
  </w:font>
  <w:font w:name="Futura Boo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DC01:300933.2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COMMENTS </w:instrText>
    </w:r>
    <w:r>
      <w:rPr/>
      <w:fldChar w:fldCharType="separate"/>
    </w:r>
    <w:r>
      <w:rPr/>
      <w:t>DC01:300933.2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jc w:val="both"/>
        <w:rPr/>
      </w:pPr>
      <w:r>
        <w:rPr>
          <w:rStyle w:val="FootnoteCharacters"/>
        </w:rPr>
        <w:footnoteRef/>
      </w:r>
      <w:r>
        <w:rPr/>
        <w:tab/>
      </w:r>
      <w:r>
        <w:rPr>
          <w:rStyle w:val="FootnoteCharacters"/>
        </w:rPr>
        <w:t>?</w:t>
      </w:r>
      <w:r>
        <w:rPr/>
        <w:tab/>
      </w:r>
      <w:r>
        <w:rPr>
          <w:i/>
        </w:rPr>
        <w:t>AES Corporation</w:t>
      </w:r>
      <w:r>
        <w:rPr/>
        <w:t xml:space="preserve">, Holding Co. Act Release No. 27363 (March 23, 2001), </w:t>
      </w:r>
      <w:r>
        <w:rPr>
          <w:i/>
        </w:rPr>
        <w:t>citing Kansas Power and Light Co.</w:t>
      </w:r>
      <w:r>
        <w:rPr/>
        <w:t xml:space="preserve">, Holding Co. Act Release No. 25464 (Feb. 5, 1992), </w:t>
      </w:r>
      <w:r>
        <w:rPr>
          <w:i/>
        </w:rPr>
        <w:t>Electric Bond and Share Co.</w:t>
      </w:r>
      <w:r>
        <w:rPr/>
        <w:t xml:space="preserve">, 33 S.E.C. 21, 32 (1052) and </w:t>
      </w:r>
      <w:r>
        <w:rPr>
          <w:i/>
        </w:rPr>
        <w:t>Kansas City Power &amp; Light Co.</w:t>
      </w:r>
      <w:r>
        <w:rPr/>
        <w:t>, 32 S.E.C. 749 (1951).</w:t>
      </w:r>
    </w:p>
  </w:footnote>
  <w:footnote w:id="3">
    <w:p>
      <w:pPr>
        <w:pStyle w:val="FootnoteText"/>
        <w:spacing w:before="0" w:after="240"/>
        <w:jc w:val="both"/>
        <w:rPr/>
      </w:pPr>
      <w:r>
        <w:rPr>
          <w:rStyle w:val="FootnoteCharacters"/>
        </w:rPr>
        <w:footnoteRef/>
      </w:r>
      <w:r>
        <w:rPr/>
        <w:tab/>
      </w:r>
      <w:r>
        <w:rPr>
          <w:rStyle w:val="FootnoteCharacters"/>
        </w:rPr>
        <w:t>?</w:t>
      </w:r>
      <w:r>
        <w:rPr/>
        <w:tab/>
        <w:t>The contemplated exit strategy with respect to Enron's equity ownership of Class B common stock and preferred shares of Holdco should strengthen its arguments before the Commission.  Under the contemplated arrangements, Enron would have the right to sell down its Class B Common Stock after two years from the closing date, and so, the securities ultimately received in settlement of the FELINE PRIDE units would be readily marketable and, in any event, the Cumulative Preferred Shares are subject to mandatory redemption one month after the Purchase Contract Settlement Date.  We would need to convince the Commission that Enron does, in fact, intend to exercise these exit strategies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680" w:leader="none"/>
        <w:tab w:val="center" w:pos="5040" w:leader="none"/>
        <w:tab w:val="right" w:pos="9360" w:leader="none"/>
      </w:tabs>
      <w:rPr/>
    </w:pPr>
    <w:r>
      <w:drawing>
        <wp:anchor behindDoc="0" distT="0" distB="0" distL="114935" distR="114935" simplePos="0" locked="0" layoutInCell="0" allowOverlap="1" relativeHeight="6">
          <wp:simplePos x="0" y="0"/>
          <wp:positionH relativeFrom="page">
            <wp:posOffset>1143000</wp:posOffset>
          </wp:positionH>
          <wp:positionV relativeFrom="page">
            <wp:posOffset>685800</wp:posOffset>
          </wp:positionV>
          <wp:extent cx="1280160" cy="127635"/>
          <wp:effectExtent l="0" t="0" r="0" b="0"/>
          <wp:wrapTopAndBottom/>
          <wp:docPr id="4" name="ELtrHead Second 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LtrHead Second Page" descr="" title=""/>
                  <pic:cNvPicPr>
                    <a:picLocks noChangeAspect="1" noChangeArrowheads="1"/>
                  </pic:cNvPicPr>
                </pic:nvPicPr>
                <pic:blipFill>
                  <a:blip r:embed="rId1"/>
                  <a:srcRect l="-4" t="-40" r="-4" b="-40"/>
                  <a:stretch>
                    <a:fillRect/>
                  </a:stretch>
                </pic:blipFill>
                <pic:spPr bwMode="auto">
                  <a:xfrm>
                    <a:off x="0" y="0"/>
                    <a:ext cx="1280160" cy="127635"/>
                  </a:xfrm>
                  <a:prstGeom prst="rect">
                    <a:avLst/>
                  </a:prstGeom>
                  <a:noFill/>
                </pic:spPr>
              </pic:pic>
            </a:graphicData>
          </a:graphic>
        </wp:anchor>
      </w:drawing>
    </w:r>
    <w:r>
      <w:rPr/>
      <w:t>Mark Metts</w:t>
    </w:r>
  </w:p>
  <w:p>
    <w:pPr>
      <w:pStyle w:val="Header"/>
      <w:tabs>
        <w:tab w:val="center" w:pos="4680" w:leader="none"/>
        <w:tab w:val="center" w:pos="5040" w:leader="none"/>
        <w:tab w:val="right" w:pos="9360" w:leader="none"/>
      </w:tabs>
      <w:rPr/>
    </w:pPr>
    <w:r>
      <w:rPr/>
      <w:t>August 14, 2001</w:t>
    </w:r>
  </w:p>
  <w:p>
    <w:pPr>
      <w:pStyle w:val="Header"/>
      <w:tabs>
        <w:tab w:val="center" w:pos="4680" w:leader="none"/>
        <w:tab w:val="center" w:pos="5040" w:leader="none"/>
        <w:tab w:val="right" w:pos="9360" w:leader="none"/>
      </w:tabs>
      <w:rPr/>
    </w:pPr>
    <w:r>
      <w:rPr/>
      <w:t xml:space="preserve">Page </w:t>
    </w:r>
    <w:r>
      <w:rPr/>
      <w:fldChar w:fldCharType="begin"/>
    </w:r>
    <w:r>
      <w:rPr/>
      <w:instrText xml:space="preserve"> PAGE </w:instrText>
    </w:r>
    <w:r>
      <w:rPr/>
      <w:fldChar w:fldCharType="separate"/>
    </w:r>
    <w:r>
      <w:rPr/>
      <w:t>6</w:t>
    </w:r>
    <w:r>
      <w:rPr/>
      <w:fldChar w:fldCharType="end"/>
    </w:r>
  </w:p>
  <w:p>
    <w:pPr>
      <w:pStyle w:val="Header"/>
      <w:tabs>
        <w:tab w:val="center" w:pos="4680" w:leader="none"/>
        <w:tab w:val="center" w:pos="5040" w:leader="none"/>
        <w:tab w:val="right" w:pos="9360" w:leader="none"/>
      </w:tabs>
      <w:rPr/>
    </w:pPr>
    <w:r>
      <w:rPr/>
    </w:r>
  </w:p>
  <w:p>
    <w:pPr>
      <w:pStyle w:val="Header"/>
      <w:tabs>
        <w:tab w:val="center" w:pos="4680" w:leader="none"/>
        <w:tab w:val="center" w:pos="5040" w:leader="none"/>
        <w:tab w:val="right" w:pos="9360" w:leader="none"/>
      </w:tabs>
      <w:rPr/>
    </w:pPr>
    <w:r>
      <w:rPr/>
    </w:r>
  </w:p>
  <w:p>
    <w:pPr>
      <w:pStyle w:val="Header"/>
      <w:tabs>
        <w:tab w:val="center" w:pos="4680" w:leader="none"/>
        <w:tab w:val="center" w:pos="504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680" w:leader="none"/>
        <w:tab w:val="center" w:pos="5040" w:leader="none"/>
        <w:tab w:val="right" w:pos="9360" w:leader="none"/>
      </w:tabs>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kern w:val="2"/>
    </w:rPr>
  </w:style>
  <w:style w:type="paragraph" w:styleId="Heading2">
    <w:name w:val="heading 2"/>
    <w:basedOn w:val="Normal"/>
    <w:next w:val="Normal"/>
    <w:qFormat/>
    <w:pPr>
      <w:keepNext w:val="true"/>
      <w:numPr>
        <w:ilvl w:val="1"/>
        <w:numId w:val="1"/>
      </w:numPr>
      <w:jc w:val="both"/>
      <w:outlineLvl w:val="1"/>
    </w:pPr>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jc w:val="both"/>
      <w:outlineLvl w:val="3"/>
    </w:pPr>
    <w:rPr/>
  </w:style>
  <w:style w:type="paragraph" w:styleId="Heading5">
    <w:name w:val="heading 5"/>
    <w:basedOn w:val="Normal"/>
    <w:next w:val="Normal"/>
    <w:qFormat/>
    <w:pPr>
      <w:numPr>
        <w:ilvl w:val="4"/>
        <w:numId w:val="1"/>
      </w:numPr>
      <w:jc w:val="both"/>
      <w:outlineLvl w:val="4"/>
    </w:pPr>
    <w:rPr/>
  </w:style>
  <w:style w:type="paragraph" w:styleId="Heading6">
    <w:name w:val="heading 6"/>
    <w:basedOn w:val="Normal"/>
    <w:next w:val="Normal"/>
    <w:qFormat/>
    <w:pPr>
      <w:numPr>
        <w:ilvl w:val="5"/>
        <w:numId w:val="1"/>
      </w:numPr>
      <w:jc w:val="both"/>
      <w:outlineLvl w:val="5"/>
    </w:pPr>
    <w:rPr/>
  </w:style>
  <w:style w:type="paragraph" w:styleId="Heading7">
    <w:name w:val="heading 7"/>
    <w:basedOn w:val="Normal"/>
    <w:next w:val="Normal"/>
    <w:qFormat/>
    <w:pPr>
      <w:numPr>
        <w:ilvl w:val="6"/>
        <w:numId w:val="1"/>
      </w:numPr>
      <w:jc w:val="both"/>
      <w:outlineLvl w:val="6"/>
    </w:pPr>
    <w:rPr/>
  </w:style>
  <w:style w:type="paragraph" w:styleId="Heading8">
    <w:name w:val="heading 8"/>
    <w:basedOn w:val="Normal"/>
    <w:next w:val="Normal"/>
    <w:qFormat/>
    <w:pPr>
      <w:numPr>
        <w:ilvl w:val="7"/>
        <w:numId w:val="1"/>
      </w:numPr>
      <w:jc w:val="both"/>
      <w:outlineLvl w:val="7"/>
    </w:pPr>
    <w:rPr/>
  </w:style>
  <w:style w:type="paragraph" w:styleId="Heading9">
    <w:name w:val="heading 9"/>
    <w:basedOn w:val="Normal"/>
    <w:next w:val="Normal"/>
    <w:qFormat/>
    <w:pPr>
      <w:numPr>
        <w:ilvl w:val="8"/>
        <w:numId w:val="1"/>
      </w:numPr>
      <w:jc w:val="both"/>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9360" w:leader="none"/>
      </w:tabs>
      <w:jc w:val="both"/>
    </w:pPr>
    <w:rPr/>
  </w:style>
  <w:style w:type="paragraph" w:styleId="Footer">
    <w:name w:val="footer"/>
    <w:basedOn w:val="Normal"/>
    <w:pPr>
      <w:tabs>
        <w:tab w:val="clear" w:pos="720"/>
        <w:tab w:val="center" w:pos="4680" w:leader="none"/>
        <w:tab w:val="right" w:pos="9360" w:leader="none"/>
      </w:tabs>
      <w:jc w:val="both"/>
    </w:pPr>
    <w:rPr>
      <w:sz w:val="16"/>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spacing w:before="0" w:after="240"/>
      <w:ind w:firstLine="1440" w:start="0" w:end="0"/>
      <w:jc w:val="both"/>
    </w:pPr>
    <w:rPr/>
  </w:style>
  <w:style w:type="paragraph" w:styleId="MemorandumTitleBlock">
    <w:name w:val="Memorandum Title Block"/>
    <w:qFormat/>
    <w:pPr>
      <w:widowControl/>
      <w:bidi w:val="0"/>
      <w:spacing w:before="0" w:after="240"/>
      <w:jc w:val="center"/>
    </w:pPr>
    <w:rPr>
      <w:rFonts w:ascii="Times New Roman" w:hAnsi="Times New Roman" w:eastAsia="Times New Roman" w:cs="Times New Roman"/>
      <w:b/>
      <w:color w:val="auto"/>
      <w:sz w:val="24"/>
      <w:szCs w:val="20"/>
      <w:lang w:val="en-US" w:eastAsia="en-CA" w:bidi="ar-SA"/>
    </w:rPr>
  </w:style>
  <w:style w:type="paragraph" w:styleId="FootnoteText">
    <w:name w:val="footnote text"/>
    <w:basedOn w:val="Normal"/>
    <w:pPr>
      <w:tabs>
        <w:tab w:val="clear" w:pos="720"/>
        <w:tab w:val="left" w:pos="360" w:leader="none"/>
        <w:tab w:val="left" w:pos="634" w:leader="none"/>
      </w:tabs>
      <w:spacing w:before="0" w:after="240"/>
      <w:jc w:val="both"/>
    </w:pPr>
    <w:rPr/>
  </w:style>
  <w:style w:type="paragraph" w:styleId="EnvelopeAddress">
    <w:name w:val="envelope address"/>
    <w:basedOn w:val="Normal"/>
    <w:pPr>
      <w:ind w:hanging="0" w:start="2880" w:end="0"/>
      <w:jc w:val="both"/>
    </w:pPr>
    <w:rPr/>
  </w:style>
  <w:style w:type="paragraph" w:styleId="EnvelopeReturn">
    <w:name w:val="envelope return"/>
    <w:basedOn w:val="Normal"/>
    <w:pPr>
      <w:jc w:val="both"/>
    </w:pPr>
    <w:rPr/>
  </w:style>
  <w:style w:type="paragraph" w:styleId="BodyTextIndent2">
    <w:name w:val="Body Text Indent 2"/>
    <w:basedOn w:val="Normal"/>
    <w:qFormat/>
    <w:pPr>
      <w:ind w:hanging="0" w:start="720" w:end="0"/>
    </w:pPr>
    <w:rPr/>
  </w:style>
  <w:style w:type="paragraph" w:styleId="BodyTextIndent3">
    <w:name w:val="Body Text Indent 3"/>
    <w:basedOn w:val="Normal"/>
    <w:qFormat/>
    <w:pPr>
      <w:ind w:hanging="0" w:start="144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2001-08-17T16:31:00Z</dcterms:created>
  <dc:creator>Baker &amp; Botts, L.L.P.</dc:creator>
  <dc:description>DC01:300933.2</dc:description>
  <dc:language>en-CA</dc:language>
  <cp:lastModifiedBy>pkaufma</cp:lastModifiedBy>
  <cp:lastPrinted>2001-08-14T15:30:00Z</cp:lastPrinted>
  <dcterms:modified xsi:type="dcterms:W3CDTF">2001-08-17T16:31:00Z</dcterms:modified>
  <cp:revision>2</cp:revision>
  <dc:subject/>
  <dc:title>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moType">
    <vt:lpwstr>External</vt:lpwstr>
  </property>
  <property fmtid="{D5CDD505-2E9C-101B-9397-08002B2CF9AE}" pid="3" name="PaperType">
    <vt:lpwstr>Disabled</vt:lpwstr>
  </property>
  <property fmtid="{D5CDD505-2E9C-101B-9397-08002B2CF9AE}" pid="4" name="TemplateVersion">
    <vt:lpwstr>2.1</vt:lpwstr>
  </property>
</Properties>
</file>