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Attachment B</w:t>
      </w:r>
    </w:p>
    <w:p>
      <w:pPr>
        <w:pStyle w:val="BodyText"/>
        <w:jc w:val="center"/>
        <w:rPr>
          <w:b/>
          <w:sz w:val="32"/>
        </w:rPr>
      </w:pPr>
      <w:r>
        <w:rPr>
          <w:b/>
          <w:sz w:val="32"/>
        </w:rPr>
        <w:t>Risk Assessment Decomposition</w:t>
      </w:r>
    </w:p>
    <w:p>
      <w:pPr>
        <w:pStyle w:val="Normal"/>
        <w:tabs>
          <w:tab w:val="clear" w:pos="720"/>
          <w:tab w:val="left" w:pos="2520" w:leader="none"/>
        </w:tabs>
        <w:ind w:hanging="2160" w:start="2160" w:end="0"/>
        <w:jc w:val="both"/>
        <w:rPr>
          <w:b/>
          <w:sz w:val="22"/>
        </w:rPr>
      </w:pPr>
      <w:r>
        <w:rPr>
          <w:b/>
          <w:sz w:val="22"/>
        </w:rPr>
      </w:r>
    </w:p>
    <w:p>
      <w:pPr>
        <w:pStyle w:val="Normal"/>
        <w:tabs>
          <w:tab w:val="clear" w:pos="720"/>
          <w:tab w:val="left" w:pos="2520" w:leader="none"/>
        </w:tabs>
        <w:ind w:hanging="2160" w:start="2160" w:end="0"/>
        <w:jc w:val="both"/>
        <w:rPr>
          <w:sz w:val="22"/>
        </w:rPr>
      </w:pPr>
      <w:r>
        <w:rPr>
          <w:sz w:val="22"/>
        </w:rPr>
      </w:r>
    </w:p>
    <w:tbl>
      <w:tblPr>
        <w:tblW w:w="9198" w:type="dxa"/>
        <w:jc w:val="start"/>
        <w:tblInd w:w="0" w:type="dxa"/>
        <w:tblLayout w:type="fixed"/>
        <w:tblCellMar>
          <w:top w:w="0" w:type="dxa"/>
          <w:start w:w="108" w:type="dxa"/>
          <w:bottom w:w="0" w:type="dxa"/>
          <w:end w:w="108" w:type="dxa"/>
        </w:tblCellMar>
      </w:tblPr>
      <w:tblGrid>
        <w:gridCol w:w="1278"/>
        <w:gridCol w:w="3060"/>
        <w:gridCol w:w="4860"/>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Greek/Risk</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Description</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EES T&amp;D Hedging Risk</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pPr>
            <w:r>
              <w:rPr/>
              <w:t>Delta</w:t>
            </w:r>
          </w:p>
        </w:tc>
        <w:tc>
          <w:tcPr>
            <w:tcW w:w="3060"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t>Change in portfolio value to change in interest rates and inflation</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t>Possibility of different deltas being generated by KPMG model used for deal pricing, hedging model used to generate hedge ratios and VaR, and Infinity swap valuation.</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pPr>
            <w:r>
              <w:rPr/>
              <w:t>Gamma</w:t>
            </w:r>
          </w:p>
        </w:tc>
        <w:tc>
          <w:tcPr>
            <w:tcW w:w="306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Change in Pdh’s due to changes in the level of interest rates</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Pdh’s will change when interest rates change because the swap rates being used have convexity while the underlying model may not.  In other words, the interest rates are not being applied in a linear fashion. (i.e. the swap rates which are being used inherently have gamma).</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pPr>
            <w:r>
              <w:rPr/>
              <w:t>Theta</w:t>
            </w:r>
          </w:p>
        </w:tc>
        <w:tc>
          <w:tcPr>
            <w:tcW w:w="306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t>Change in the portfolio value and PV-01 due to changes in time.</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t>EES portfolio and swap may erode in value at different rates.</w:t>
            </w:r>
          </w:p>
          <w:p>
            <w:pPr>
              <w:pStyle w:val="Normal"/>
              <w:numPr>
                <w:ilvl w:val="0"/>
                <w:numId w:val="9"/>
              </w:numPr>
              <w:rPr/>
            </w:pPr>
            <w:r>
              <w:rPr/>
              <w:t>Accuracy of position reports being used to calculate base and modified cashflows.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pPr>
            <w:r>
              <w:rPr/>
              <w:t>Vega</w:t>
            </w:r>
          </w:p>
        </w:tc>
        <w:tc>
          <w:tcPr>
            <w:tcW w:w="306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Change in VaR due to changes in calculated volatility used in GBM process</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LIBOR volatility has been studied over a ten year period.  Volatility is relatively stable.  The fluctuations that do occur will be accommodated by regular updates to the volatility calculations.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pPr>
            <w:r>
              <w:rPr/>
              <w:t>Eta</w:t>
            </w:r>
          </w:p>
        </w:tc>
        <w:tc>
          <w:tcPr>
            <w:tcW w:w="30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pPr>
            <w:r>
              <w:rPr/>
              <w:t>Under- or over-hedging due to imperfect correlations.</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The regressions being used for AROE and CPI have good RSQ’s. The fluctuations that do occur will be accommodated by regular updates to the regression models.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pPr>
            <w:r>
              <w:rPr/>
              <w:t>Rho</w:t>
            </w:r>
          </w:p>
        </w:tc>
        <w:tc>
          <w:tcPr>
            <w:tcW w:w="306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Same as Delta for interest rate hedge</w:t>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pPr>
            <w:r>
              <w:rPr/>
              <w:t>Model</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7"/>
              </w:numPr>
              <w:spacing w:lineRule="atLeast" w:line="240"/>
              <w:rPr>
                <w:color w:val="000000"/>
                <w:lang w:eastAsia="en-US"/>
              </w:rPr>
            </w:pPr>
            <w:r>
              <w:rPr>
                <w:color w:val="000000"/>
                <w:lang w:eastAsia="en-US"/>
              </w:rPr>
              <w:t>Base year source data (Powerdat) data is reliable</w:t>
            </w:r>
          </w:p>
          <w:p>
            <w:pPr>
              <w:pStyle w:val="Normal"/>
              <w:numPr>
                <w:ilvl w:val="0"/>
                <w:numId w:val="7"/>
              </w:numPr>
              <w:spacing w:lineRule="atLeast" w:line="240"/>
              <w:rPr/>
            </w:pPr>
            <w:r>
              <w:rPr>
                <w:color w:val="000000"/>
                <w:lang w:eastAsia="en-US"/>
              </w:rPr>
              <w:t>Timing of application and accuracy of non-curve related variables (productivity, equity beta, debt risk premium, debt rating, AROE, cost of debt, capital structure)</w:t>
            </w:r>
          </w:p>
          <w:p>
            <w:pPr>
              <w:pStyle w:val="Normal"/>
              <w:numPr>
                <w:ilvl w:val="0"/>
                <w:numId w:val="7"/>
              </w:numPr>
              <w:spacing w:lineRule="atLeast" w:line="240"/>
              <w:rPr/>
            </w:pPr>
            <w:r>
              <w:rPr>
                <w:color w:val="000000"/>
                <w:lang w:eastAsia="en-US"/>
              </w:rPr>
              <w:t>EES’ actual position is accounted for on a monthly basis while the hedge calculation is done on an annual basis.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pPr>
            <w:r>
              <w:rPr/>
              <w:t>Regulatory</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7"/>
              </w:numPr>
              <w:spacing w:lineRule="atLeast" w:line="240"/>
              <w:rPr>
                <w:color w:val="000000"/>
                <w:lang w:eastAsia="en-US"/>
              </w:rPr>
            </w:pPr>
            <w:r>
              <w:rPr>
                <w:color w:val="000000"/>
                <w:lang w:eastAsia="en-US"/>
              </w:rPr>
              <w:t>Accuracy of regulatory assumptions concerning methodology and timing of delivery price impacts.</w:t>
            </w:r>
          </w:p>
          <w:p>
            <w:pPr>
              <w:pStyle w:val="Normal"/>
              <w:numPr>
                <w:ilvl w:val="0"/>
                <w:numId w:val="7"/>
              </w:numPr>
              <w:spacing w:lineRule="atLeast" w:line="240"/>
              <w:rPr/>
            </w:pPr>
            <w:r>
              <w:rPr>
                <w:color w:val="000000"/>
                <w:lang w:eastAsia="en-US"/>
              </w:rPr>
              <w:t>A change in a calculated system-wide average rate will have a proportional effect on individual tariffs that to which EES is subject.</w:t>
            </w:r>
          </w:p>
        </w:tc>
      </w:tr>
    </w:tbl>
    <w:p>
      <w:pPr>
        <w:pStyle w:val="Normal"/>
        <w:tabs>
          <w:tab w:val="clear" w:pos="720"/>
          <w:tab w:val="left" w:pos="2520" w:leader="none"/>
        </w:tabs>
        <w:ind w:hanging="2160" w:start="2160" w:end="0"/>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2000-12-04T21:55:00Z</dcterms:created>
  <dc:creator>dfoti</dc:creator>
  <dc:description/>
  <dc:language>en-CA</dc:language>
  <cp:lastModifiedBy>dfoti</cp:lastModifiedBy>
  <dcterms:modified xsi:type="dcterms:W3CDTF">2000-12-04T21:57:00Z</dcterms:modified>
  <cp:revision>1</cp:revision>
  <dc:subject/>
  <dc:title>Attachment B</dc:title>
</cp:coreProperties>
</file>