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CenteredText"/>
        <w:spacing w:before="0" w:after="120"/>
        <w:rPr/>
      </w:pPr>
      <w:r>
        <w:rPr/>
        <w:drawing>
          <wp:inline distT="0" distB="0" distL="0" distR="0">
            <wp:extent cx="1700530" cy="236220"/>
            <wp:effectExtent l="0" t="0" r="0" b="0"/>
            <wp:docPr id="1" name="LOGO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 descr="" title=""/>
                    <pic:cNvPicPr>
                      <a:picLocks noChangeAspect="1" noChangeArrowheads="1"/>
                    </pic:cNvPicPr>
                  </pic:nvPicPr>
                  <pic:blipFill>
                    <a:blip r:embed="rId2"/>
                    <a:srcRect l="-9" t="-71" r="-9" b="-71"/>
                    <a:stretch>
                      <a:fillRect/>
                    </a:stretch>
                  </pic:blipFill>
                  <pic:spPr bwMode="auto">
                    <a:xfrm>
                      <a:off x="0" y="0"/>
                      <a:ext cx="1700530" cy="236220"/>
                    </a:xfrm>
                    <a:prstGeom prst="rect">
                      <a:avLst/>
                    </a:prstGeom>
                    <a:noFill/>
                  </pic:spPr>
                </pic:pic>
              </a:graphicData>
            </a:graphic>
          </wp:inline>
        </w:drawing>
      </w:r>
    </w:p>
    <w:p>
      <w:pPr>
        <w:sectPr>
          <w:footerReference w:type="default" r:id="rId3"/>
          <w:type w:val="nextPage"/>
          <w:pgSz w:w="12240" w:h="15840"/>
          <w:pgMar w:left="1440" w:right="1440" w:gutter="0" w:header="0" w:top="1440" w:footer="720" w:bottom="1440"/>
          <w:pgNumType w:fmt="decimal"/>
          <w:formProt w:val="false"/>
          <w:textDirection w:val="lrTb"/>
          <w:docGrid w:type="default" w:linePitch="360" w:charSpace="0"/>
        </w:sectPr>
      </w:pPr>
    </w:p>
    <w:p>
      <w:pPr>
        <w:pStyle w:val="VESubTitle"/>
        <w:keepNext w:val="false"/>
        <w:rPr/>
      </w:pPr>
      <w:r>
        <w:fldChar w:fldCharType="begin"/>
      </w:r>
      <w:r>
        <w:rPr>
          <w:sz w:val="16"/>
          <w:b w:val="false"/>
          <w:bCs w:val="false"/>
          <w:rFonts w:cs="Humanst521 Lt BT;Century Schoolbook" w:ascii="Humanst521 Lt BT;Century Schoolbook" w:hAnsi="Humanst521 Lt BT;Century Schoolbook"/>
        </w:rPr>
        <w:instrText xml:space="preserve">ADVANCE \d 1"</w:instrText>
      </w:r>
      <w:r>
        <w:rPr>
          <w:rFonts w:cs="Humanst521 Lt BT;Century Schoolbook" w:ascii="Humanst521 Lt BT;Century Schoolbook" w:hAnsi="Humanst521 Lt BT;Century Schoolbook"/>
          <w:b w:val="false"/>
          <w:bCs w:val="false"/>
          <w:sz w:val="16"/>
        </w:rPr>
      </w:r>
      <w:r>
        <w:rPr>
          <w:sz w:val="16"/>
          <w:b w:val="false"/>
          <w:bCs w:val="false"/>
          <w:rFonts w:cs="Humanst521 Lt BT;Century Schoolbook" w:ascii="Humanst521 Lt BT;Century Schoolbook" w:hAnsi="Humanst521 Lt BT;Century Schoolbook"/>
        </w:rPr>
        <w:fldChar w:fldCharType="separate"/>
      </w:r>
      <w:r>
        <w:rPr>
          <w:rFonts w:cs="Humanst521 Lt BT;Century Schoolbook" w:ascii="Humanst521 Lt BT;Century Schoolbook" w:hAnsi="Humanst521 Lt BT;Century Schoolbook"/>
          <w:b w:val="false"/>
          <w:bCs w:val="false"/>
          <w:sz w:val="16"/>
        </w:rPr>
      </w:r>
      <w:r>
        <w:rPr>
          <w:rFonts w:cs="Humanst521 Lt BT;Century Schoolbook" w:ascii="Humanst521 Lt BT;Century Schoolbook" w:hAnsi="Humanst521 Lt BT;Century Schoolbook"/>
          <w:b w:val="false"/>
          <w:bCs w:val="false"/>
          <w:sz w:val="16"/>
        </w:rPr>
      </w:r>
      <w:r>
        <w:rPr>
          <w:sz w:val="16"/>
          <w:b w:val="false"/>
          <w:bCs w:val="false"/>
          <w:rFonts w:cs="Humanst521 Lt BT;Century Schoolbook" w:ascii="Humanst521 Lt BT;Century Schoolbook" w:hAnsi="Humanst521 Lt BT;Century Schoolbook"/>
        </w:rPr>
        <w:fldChar w:fldCharType="end"/>
      </w:r>
      <w:r>
        <w:fldChar w:fldCharType="begin"/>
      </w:r>
      <w:r>
        <w:rPr>
          <w:sz w:val="16"/>
          <w:b w:val="false"/>
          <w:bCs w:val="false"/>
          <w:rFonts w:cs="Humanst521 Lt BT;Century Schoolbook" w:ascii="Humanst521 Lt BT;Century Schoolbook" w:hAnsi="Humanst521 Lt BT;Century Schoolbook"/>
        </w:rPr>
        <w:instrText xml:space="preserve">ADVANCE \d 2"</w:instrText>
      </w:r>
      <w:r>
        <w:rPr>
          <w:rFonts w:cs="Humanst521 Lt BT;Century Schoolbook" w:ascii="Humanst521 Lt BT;Century Schoolbook" w:hAnsi="Humanst521 Lt BT;Century Schoolbook"/>
          <w:b w:val="false"/>
          <w:bCs w:val="false"/>
          <w:sz w:val="16"/>
        </w:rPr>
      </w:r>
      <w:r>
        <w:rPr>
          <w:sz w:val="16"/>
          <w:b w:val="false"/>
          <w:bCs w:val="false"/>
          <w:rFonts w:cs="Humanst521 Lt BT;Century Schoolbook" w:ascii="Humanst521 Lt BT;Century Schoolbook" w:hAnsi="Humanst521 Lt BT;Century Schoolbook"/>
        </w:rPr>
        <w:fldChar w:fldCharType="separate"/>
      </w:r>
      <w:r>
        <w:rPr>
          <w:rFonts w:cs="Humanst521 Lt BT;Century Schoolbook" w:ascii="Humanst521 Lt BT;Century Schoolbook" w:hAnsi="Humanst521 Lt BT;Century Schoolbook"/>
          <w:b w:val="false"/>
          <w:bCs w:val="false"/>
          <w:sz w:val="16"/>
        </w:rPr>
      </w:r>
      <w:r>
        <w:rPr>
          <w:rFonts w:cs="Humanst521 Lt BT;Century Schoolbook" w:ascii="Humanst521 Lt BT;Century Schoolbook" w:hAnsi="Humanst521 Lt BT;Century Schoolbook"/>
          <w:b w:val="false"/>
          <w:bCs w:val="false"/>
          <w:sz w:val="16"/>
        </w:rPr>
      </w:r>
      <w:r>
        <w:rPr>
          <w:sz w:val="16"/>
          <w:b w:val="false"/>
          <w:bCs w:val="false"/>
          <w:rFonts w:cs="Humanst521 Lt BT;Century Schoolbook" w:ascii="Humanst521 Lt BT;Century Schoolbook" w:hAnsi="Humanst521 Lt BT;Century Schoolbook"/>
        </w:rPr>
        <w:fldChar w:fldCharType="end"/>
      </w:r>
      <w:r>
        <w:rPr/>
        <w:t>ATTORNEYS AT LAW</w:t>
      </w:r>
    </w:p>
    <w:tbl>
      <w:tblPr>
        <w:tblW w:w="9558" w:type="dxa"/>
        <w:jc w:val="start"/>
        <w:tblInd w:w="18" w:type="dxa"/>
        <w:tblLayout w:type="fixed"/>
        <w:tblCellMar>
          <w:top w:w="0" w:type="dxa"/>
          <w:start w:w="108" w:type="dxa"/>
          <w:bottom w:w="0" w:type="dxa"/>
          <w:end w:w="108" w:type="dxa"/>
        </w:tblCellMar>
      </w:tblPr>
      <w:tblGrid>
        <w:gridCol w:w="3186"/>
        <w:gridCol w:w="3186"/>
        <w:gridCol w:w="3186"/>
      </w:tblGrid>
      <w:tr>
        <w:trPr/>
        <w:tc>
          <w:tcPr>
            <w:tcW w:w="3186" w:type="dxa"/>
            <w:tcBorders/>
          </w:tcPr>
          <w:p>
            <w:pPr>
              <w:pStyle w:val="VELeftAddressBlock"/>
              <w:snapToGrid w:val="false"/>
              <w:rPr/>
            </w:pPr>
            <w:r>
              <w:rPr/>
            </w:r>
            <w:bookmarkStart w:id="0" w:name="Start"/>
            <w:bookmarkStart w:id="1" w:name="Start"/>
            <w:bookmarkEnd w:id="1"/>
          </w:p>
          <w:p>
            <w:pPr>
              <w:pStyle w:val="VELeftAddressBlock"/>
              <w:rPr/>
            </w:pPr>
            <w:r>
              <w:rPr/>
            </w:r>
          </w:p>
          <w:p>
            <w:pPr>
              <w:pStyle w:val="VELeftAddressBlock"/>
              <w:rPr/>
            </w:pPr>
            <w:r>
              <w:rPr/>
            </w:r>
          </w:p>
          <w:p>
            <w:pPr>
              <w:pStyle w:val="VELeftAddressBlock"/>
              <w:rPr/>
            </w:pPr>
            <w:r>
              <w:rPr/>
            </w:r>
          </w:p>
          <w:p>
            <w:pPr>
              <w:pStyle w:val="VELeftAddressBlock"/>
              <w:rPr/>
            </w:pPr>
            <w:bookmarkStart w:id="2" w:name="SenderPhone"/>
            <w:bookmarkEnd w:id="2"/>
            <w:r>
              <w:rPr/>
              <w:t>Writer's Phone: 202-639-6533</w:t>
            </w:r>
          </w:p>
          <w:p>
            <w:pPr>
              <w:pStyle w:val="VELeftAddressBlock"/>
              <w:rPr/>
            </w:pPr>
            <w:bookmarkStart w:id="3" w:name="SenderFax"/>
            <w:bookmarkEnd w:id="3"/>
            <w:r>
              <w:rPr/>
              <w:t>Writer's Fax: 202-639-6400</w:t>
            </w:r>
          </w:p>
        </w:tc>
        <w:tc>
          <w:tcPr>
            <w:tcW w:w="3186" w:type="dxa"/>
            <w:tcBorders/>
          </w:tcPr>
          <w:p>
            <w:pPr>
              <w:pStyle w:val="VECenteredAddressBlock"/>
              <w:rPr/>
            </w:pPr>
            <w:r>
              <w:rPr/>
              <w:t>VINSON &amp; ELKINS L.L.P.</w:t>
            </w:r>
          </w:p>
          <w:p>
            <w:pPr>
              <w:pStyle w:val="VECenteredAddressBlock"/>
              <w:rPr/>
            </w:pPr>
            <w:bookmarkStart w:id="4" w:name="OffAdd1"/>
            <w:bookmarkEnd w:id="4"/>
            <w:r>
              <w:rPr/>
              <w:t>THE WILLARD OFFICE BUILDING</w:t>
            </w:r>
          </w:p>
          <w:p>
            <w:pPr>
              <w:pStyle w:val="VECenteredAddressBlock"/>
              <w:rPr/>
            </w:pPr>
            <w:bookmarkStart w:id="5" w:name="OffAdd2"/>
            <w:bookmarkEnd w:id="5"/>
            <w:r>
              <w:rPr/>
              <w:t>1455 PENNSYLVANIA AVE., N.W.</w:t>
            </w:r>
          </w:p>
          <w:p>
            <w:pPr>
              <w:pStyle w:val="VECenteredAddressBlock"/>
              <w:rPr>
                <w:b/>
                <w:bCs/>
                <w:sz w:val="14"/>
              </w:rPr>
            </w:pPr>
            <w:bookmarkStart w:id="6" w:name="OffCity"/>
            <w:bookmarkStart w:id="7" w:name="OffAdd3"/>
            <w:bookmarkEnd w:id="6"/>
            <w:bookmarkEnd w:id="7"/>
            <w:r>
              <w:rPr>
                <w:b/>
                <w:bCs/>
                <w:sz w:val="14"/>
              </w:rPr>
              <w:t>WASHINGTON, D.C.  20004-1008</w:t>
            </w:r>
          </w:p>
          <w:p>
            <w:pPr>
              <w:pStyle w:val="VECenteredAddressBlock"/>
              <w:rPr/>
            </w:pPr>
            <w:bookmarkStart w:id="8" w:name="OffPhone"/>
            <w:bookmarkEnd w:id="8"/>
            <w:r>
              <w:rPr/>
              <w:t>TELEPHONE (202) 639-6500</w:t>
            </w:r>
          </w:p>
          <w:p>
            <w:pPr>
              <w:pStyle w:val="VECenteredAddressBlock"/>
              <w:rPr/>
            </w:pPr>
            <w:bookmarkStart w:id="9" w:name="OffFax"/>
            <w:bookmarkEnd w:id="9"/>
            <w:r>
              <w:rPr/>
              <w:t>FAX (202) 639-6604</w:t>
            </w:r>
          </w:p>
        </w:tc>
        <w:tc>
          <w:tcPr>
            <w:tcW w:w="3186" w:type="dxa"/>
            <w:tcBorders/>
          </w:tcPr>
          <w:p>
            <w:pPr>
              <w:pStyle w:val="VERightAddressBlock"/>
              <w:snapToGrid w:val="false"/>
              <w:rPr/>
            </w:pPr>
            <w:r>
              <w:rPr/>
            </w:r>
          </w:p>
          <w:p>
            <w:pPr>
              <w:pStyle w:val="VERightAddressBlock"/>
              <w:rPr/>
            </w:pPr>
            <w:r>
              <w:rPr/>
            </w:r>
          </w:p>
          <w:p>
            <w:pPr>
              <w:pStyle w:val="VERightAddressBlock"/>
              <w:rPr/>
            </w:pPr>
            <w:r>
              <w:rPr/>
            </w:r>
          </w:p>
          <w:p>
            <w:pPr>
              <w:pStyle w:val="VERightAddressBlock"/>
              <w:rPr/>
            </w:pPr>
            <w:r>
              <w:rPr/>
            </w:r>
          </w:p>
          <w:p>
            <w:pPr>
              <w:pStyle w:val="VERightAddressBlock"/>
              <w:rPr/>
            </w:pPr>
            <w:bookmarkStart w:id="10" w:name="SenderEmail"/>
            <w:bookmarkEnd w:id="10"/>
            <w:r>
              <w:rPr/>
              <w:t>E-mail: awenner@velaw.com</w:t>
            </w:r>
          </w:p>
          <w:p>
            <w:pPr>
              <w:pStyle w:val="VERightAddressBlock"/>
              <w:rPr/>
            </w:pPr>
            <w:bookmarkStart w:id="11" w:name="VEWeb"/>
            <w:bookmarkEnd w:id="11"/>
            <w:r>
              <w:rPr/>
              <w:t>Web: www.velaw.com</w:t>
            </w:r>
          </w:p>
        </w:tc>
      </w:tr>
    </w:tbl>
    <w:p>
      <w:pPr>
        <w:pStyle w:val="VEMemoHeading"/>
        <w:rPr/>
      </w:pPr>
      <w:r>
        <mc:AlternateContent>
          <mc:Choice Requires="wps">
            <w:drawing>
              <wp:anchor behindDoc="0" distT="0" distB="0" distL="114935" distR="114935" simplePos="0" locked="0" layoutInCell="0" allowOverlap="1" relativeHeight="3">
                <wp:simplePos x="0" y="0"/>
                <wp:positionH relativeFrom="margin">
                  <wp:align>center</wp:align>
                </wp:positionH>
                <wp:positionV relativeFrom="paragraph">
                  <wp:posOffset>730250</wp:posOffset>
                </wp:positionV>
                <wp:extent cx="3201035" cy="635"/>
                <wp:effectExtent l="635" t="6350" r="635" b="6350"/>
                <wp:wrapNone/>
                <wp:docPr id="2" name=""/>
                <a:graphic xmlns:a="http://schemas.openxmlformats.org/drawingml/2006/main">
                  <a:graphicData uri="http://schemas.microsoft.com/office/word/2010/wordprocessingShape">
                    <wps:wsp>
                      <wps:cNvSpPr/>
                      <wps:spPr>
                        <a:xfrm>
                          <a:off x="0" y="0"/>
                          <a:ext cx="3201120" cy="72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07.95pt,57.5pt" to="359.95pt,57.5pt" stroked="t" o:allowincell="f" style="position:absolute;mso-position-horizontal:center;mso-position-horizontal-relative:margin">
                <v:stroke color="black" weight="12600" joinstyle="miter" endcap="flat"/>
                <v:fill o:detectmouseclick="t" on="false"/>
                <w10:wrap type="none"/>
              </v:line>
            </w:pict>
          </mc:Fallback>
        </mc:AlternateContent>
      </w:r>
      <w:r>
        <w:rPr/>
        <w:t xml:space="preserve"> </w:t>
      </w:r>
      <w:r>
        <w:rPr/>
        <w:t>Memorandum</w:t>
      </w:r>
    </w:p>
    <w:p>
      <w:pPr>
        <w:pStyle w:val="VEDate"/>
        <w:rPr>
          <w:lang w:val="en-CA" w:eastAsia="en-CA"/>
        </w:rPr>
      </w:pPr>
      <w:bookmarkStart w:id="12" w:name="BodyDate"/>
      <w:r>
        <w:rPr>
          <w:lang w:val="en-CA" w:eastAsia="en-CA"/>
        </w:rPr>
        <w:t>August 10, 2001</w:t>
      </w:r>
      <w:bookmarkEnd w:id="12"/>
    </w:p>
    <w:tbl>
      <w:tblPr>
        <w:tblW w:w="8301" w:type="dxa"/>
        <w:jc w:val="start"/>
        <w:tblInd w:w="0" w:type="dxa"/>
        <w:tblLayout w:type="fixed"/>
        <w:tblCellMar>
          <w:top w:w="0" w:type="dxa"/>
          <w:start w:w="108" w:type="dxa"/>
          <w:bottom w:w="0" w:type="dxa"/>
          <w:end w:w="108" w:type="dxa"/>
        </w:tblCellMar>
      </w:tblPr>
      <w:tblGrid>
        <w:gridCol w:w="1440"/>
        <w:gridCol w:w="6861"/>
      </w:tblGrid>
      <w:tr>
        <w:trPr/>
        <w:tc>
          <w:tcPr>
            <w:tcW w:w="1440" w:type="dxa"/>
            <w:tcBorders/>
          </w:tcPr>
          <w:p>
            <w:pPr>
              <w:pStyle w:val="VEBodyTextNoSpace"/>
              <w:rPr/>
            </w:pPr>
            <w:r>
              <w:rPr/>
              <w:t>TO:</w:t>
            </w:r>
          </w:p>
        </w:tc>
        <w:tc>
          <w:tcPr>
            <w:tcW w:w="6861" w:type="dxa"/>
            <w:tcBorders/>
          </w:tcPr>
          <w:p>
            <w:pPr>
              <w:pStyle w:val="VEBodyTextNoSpace"/>
              <w:rPr/>
            </w:pPr>
            <w:bookmarkStart w:id="13" w:name="MemoTo"/>
            <w:bookmarkEnd w:id="13"/>
            <w:r>
              <w:rPr/>
              <w:t>Enron Corp.</w:t>
            </w:r>
          </w:p>
        </w:tc>
      </w:tr>
      <w:tr>
        <w:trPr/>
        <w:tc>
          <w:tcPr>
            <w:tcW w:w="1440" w:type="dxa"/>
            <w:tcBorders/>
          </w:tcPr>
          <w:p>
            <w:pPr>
              <w:pStyle w:val="VEBodyTextNoSpace"/>
              <w:snapToGrid w:val="false"/>
              <w:rPr/>
            </w:pPr>
            <w:r>
              <w:rPr/>
            </w:r>
          </w:p>
        </w:tc>
        <w:tc>
          <w:tcPr>
            <w:tcW w:w="6861" w:type="dxa"/>
            <w:tcBorders/>
          </w:tcPr>
          <w:p>
            <w:pPr>
              <w:pStyle w:val="VEBodyTextNoSpace"/>
              <w:snapToGrid w:val="false"/>
              <w:rPr/>
            </w:pPr>
            <w:r>
              <w:rPr/>
            </w:r>
          </w:p>
        </w:tc>
      </w:tr>
      <w:tr>
        <w:trPr/>
        <w:tc>
          <w:tcPr>
            <w:tcW w:w="1440" w:type="dxa"/>
            <w:tcBorders/>
          </w:tcPr>
          <w:p>
            <w:pPr>
              <w:pStyle w:val="VEBodyTextNoSpace"/>
              <w:rPr/>
            </w:pPr>
            <w:r>
              <w:rPr/>
              <w:t>FROM:</w:t>
            </w:r>
          </w:p>
        </w:tc>
        <w:tc>
          <w:tcPr>
            <w:tcW w:w="6861" w:type="dxa"/>
            <w:tcBorders/>
          </w:tcPr>
          <w:p>
            <w:pPr>
              <w:pStyle w:val="VEBodyTextNoSpace"/>
              <w:rPr/>
            </w:pPr>
            <w:bookmarkStart w:id="14" w:name="MemoFrom"/>
            <w:bookmarkEnd w:id="14"/>
            <w:r>
              <w:rPr/>
              <w:t>Adam Wenner</w:t>
            </w:r>
          </w:p>
        </w:tc>
      </w:tr>
      <w:tr>
        <w:trPr/>
        <w:tc>
          <w:tcPr>
            <w:tcW w:w="1440" w:type="dxa"/>
            <w:tcBorders/>
          </w:tcPr>
          <w:p>
            <w:pPr>
              <w:pStyle w:val="VEBodyTextNoSpace"/>
              <w:snapToGrid w:val="false"/>
              <w:rPr/>
            </w:pPr>
            <w:r>
              <w:rPr/>
            </w:r>
          </w:p>
        </w:tc>
        <w:tc>
          <w:tcPr>
            <w:tcW w:w="6861" w:type="dxa"/>
            <w:tcBorders/>
          </w:tcPr>
          <w:p>
            <w:pPr>
              <w:pStyle w:val="VEBodyTextNoSpace"/>
              <w:snapToGrid w:val="false"/>
              <w:rPr/>
            </w:pPr>
            <w:r>
              <w:rPr/>
            </w:r>
          </w:p>
        </w:tc>
      </w:tr>
      <w:tr>
        <w:trPr/>
        <w:tc>
          <w:tcPr>
            <w:tcW w:w="1440" w:type="dxa"/>
            <w:tcBorders/>
          </w:tcPr>
          <w:p>
            <w:pPr>
              <w:pStyle w:val="VEBodyText"/>
              <w:spacing w:before="0" w:after="240"/>
              <w:rPr/>
            </w:pPr>
            <w:r>
              <w:rPr/>
              <w:t>RE:</w:t>
            </w:r>
          </w:p>
        </w:tc>
        <w:tc>
          <w:tcPr>
            <w:tcW w:w="6861" w:type="dxa"/>
            <w:tcBorders/>
          </w:tcPr>
          <w:p>
            <w:pPr>
              <w:pStyle w:val="VEBodyText"/>
              <w:spacing w:before="0" w:after="240"/>
              <w:rPr/>
            </w:pPr>
            <w:bookmarkStart w:id="15" w:name="MemoRegarding"/>
            <w:bookmarkEnd w:id="15"/>
            <w:r>
              <w:rPr/>
              <w:t>FERC Issues Associated With Granite II Transaction</w:t>
            </w:r>
          </w:p>
        </w:tc>
      </w:tr>
    </w:tbl>
    <w:p>
      <w:pPr>
        <w:pStyle w:val="VEBodyTextFLI"/>
        <w:rPr/>
      </w:pPr>
      <w:r>
        <w:rPr/>
      </w:r>
    </w:p>
    <w:p>
      <w:pPr>
        <w:pStyle w:val="VEBodyTextFLI"/>
        <w:rPr/>
      </w:pPr>
      <w:r>
        <w:rPr/>
        <w:t>This memorandum addresses FERC issues associated with the Granite II Transaction.  It is contemplated that in addition to cash, Enron would receive non-voting convertible stock, preferred, non-voting stock, and less than 10% of the common stock of HoldCo.  In addition, Enron would have the right to select as many as three of the thirteen directors on the board of HoldCo.</w:t>
      </w:r>
    </w:p>
    <w:p>
      <w:pPr>
        <w:pStyle w:val="Heading3"/>
        <w:ind w:hanging="0" w:start="0"/>
        <w:rPr/>
      </w:pPr>
      <w:r>
        <w:rPr>
          <w:rStyle w:val="VEBold"/>
          <w:b w:val="false"/>
        </w:rPr>
        <w:t>I.</w:t>
        <w:tab/>
        <w:t>FERC Approval Under Section 203</w:t>
      </w:r>
    </w:p>
    <w:p>
      <w:pPr>
        <w:pStyle w:val="VEBodyTextFLI"/>
        <w:rPr/>
      </w:pPr>
      <w:r>
        <w:rPr/>
        <w:t xml:space="preserve">At the completion of the transaction, HoldCo would own at least 90.1 percent of the voting securities of Portland General Electric Co. (PGE).  This result represents a change in control over PGE, and therefore would require prior approval from FERC pursuant to Section 203 of the Federal Power Act (FPA).  In considering a proposed change in control over a public utility, the FERC will consider the effects of the transaction on competition, on rates, and on regulation. </w:t>
      </w:r>
    </w:p>
    <w:p>
      <w:pPr>
        <w:pStyle w:val="VEBodyTextFLI"/>
        <w:rPr/>
      </w:pPr>
      <w:r>
        <w:rPr/>
        <w:t xml:space="preserve">Buyer does not, and does not have subsidiaries that own electric generation, transmission or distribution facilities; as a result, the transaction will not raise issues regarding horizontal market power, </w:t>
      </w:r>
      <w:r>
        <w:rPr>
          <w:i/>
          <w:iCs/>
        </w:rPr>
        <w:t>i.e.</w:t>
      </w:r>
      <w:r>
        <w:rPr/>
        <w:t>, the combination of PGE’s owned or controlled generation with generation owned or controlled by Buyer.  The transaction would result in the combination of an electric utility and a gas utility with overlapping service territories, and thus raises vertical market power issues.  The concern is whether the transaction will create or enhance the incentive or ability of the merged firm to adversely affect prices and output in the downstream electricity market and to discourage entry by new generators.</w:t>
      </w:r>
    </w:p>
    <w:p>
      <w:pPr>
        <w:pStyle w:val="VEBodyTextFLI"/>
        <w:rPr/>
      </w:pPr>
      <w:r>
        <w:rPr/>
        <w:t xml:space="preserve">In a similar case involving the merger of an electric utility (LILCO) and a gas utility (Brooklyn Union Gas) with overlapping service areas, the FERC noted that the combination could give the gas utility an incentive to seek to disadvantage competing gas-fired generators in its service area, since these generators would now be competing with generation owned by the newly-affiliated electric utility.  FERC’s approach is to “attribute,” for purposes of its competitive analysis, gas-fired generation served by the merging company, to that company.  Accordingly, FERC examined the amount of gas-fired generation served by the gas utility.  The FERC noted, however, that even if it found that the gas utility could disadvantage gas-fired generation it serves, it would only raise concerns if the downstream electric market is highly concentrated, (as indicated by an HHI of 1,800 or more), thus limiting the ability of customers to switch to generators not served by the merged company.  In </w:t>
      </w:r>
      <w:r>
        <w:rPr>
          <w:rStyle w:val="VEItalic"/>
        </w:rPr>
        <w:t>Brooklyn Union</w:t>
      </w:r>
      <w:r>
        <w:rPr/>
        <w:t>, the FERC made a negative finding on the first issue, and thus did not address the second.</w:t>
      </w:r>
    </w:p>
    <w:p>
      <w:pPr>
        <w:pStyle w:val="VEBodyTextFLI"/>
        <w:rPr/>
      </w:pPr>
      <w:r>
        <w:rPr/>
        <w:t>The competitive analysis prepared for the proposed sale of PGE to Sierra Pacific Resources concluded that the downstream electric market in the Portland region is mildly concentrated.  Based on such a conclusion, since both prongs of the test must be satisfied for a finding of vertical market power, vertical market power concerns should not be a barrier to obtaining FERC approval.  Regarding the first prong of the test, the ability of HoldCo’s gas utility to disadvantage competing gas-fired generation is limited since, as a regulated LDC, the gas utility is obligated to provide non-discriminatory service to all customers.  In addition, gas-fired generation has the ability to, and review of proposed gas plants in the region indicates that developers have, located plants outside of the LDC’s service area.  Thus, although the FERC will look carefully at this issue, and intervenors may make allegations that combining these two utilities raises competitive problems, the FERC should ultimately conclude that no vertical market power concerns are raised.</w:t>
      </w:r>
    </w:p>
    <w:p>
      <w:pPr>
        <w:pStyle w:val="VEBodyTextFLI"/>
        <w:rPr/>
      </w:pPr>
      <w:r>
        <w:rPr/>
        <w:t>Finally, as noted above, Enron is considering an arrangement in which it would receive less than ten percent of the common stock of HoldCo, as well as non-voting stock, and would have the right to select one or more members of the board of HoldCo and its utility subsidiaries.  Besides PGE, Enron does not own or control significant generation resources in the region.  As a result, even if the FERC were to view Enron as controlling HoldCo and were to view Enron and its affiliates and HoldCo as a single business unit, the results of its horizontal and vertical market power analyses should be the same as its analyses of combining PGE and Buyer.</w:t>
      </w:r>
      <w:r>
        <w:rPr>
          <w:rStyle w:val="FootnoteCharacters"/>
          <w:rStyle w:val="FootnoteReference"/>
        </w:rPr>
        <w:footnoteReference w:id="2"/>
      </w:r>
    </w:p>
    <w:p>
      <w:pPr>
        <w:pStyle w:val="VEBodyTextFLI"/>
        <w:rPr/>
      </w:pPr>
      <w:r>
        <w:rPr/>
        <w:t>The transaction would not affect PGE’s wholesale or retail rates, and thus would raise issues under this standard.  Finally, HoldCo would be an exempt holding company that would not be subject to potential PUHCA interference with the FERC’s or state commission’s regulation of the sale of goods or services between affiliates of the HoldCo system.  As a result, there will no issues relating to the transaction’s effect on regulation.</w:t>
      </w:r>
    </w:p>
    <w:p>
      <w:pPr>
        <w:pStyle w:val="Heading3"/>
        <w:ind w:hanging="0" w:start="0"/>
        <w:rPr/>
      </w:pPr>
      <w:r>
        <w:rPr/>
        <w:t>II.</w:t>
        <w:tab/>
        <w:t>Marketing Affiliate Issues</w:t>
      </w:r>
    </w:p>
    <w:p>
      <w:pPr>
        <w:pStyle w:val="VEBodyTextFLI"/>
        <w:rPr/>
      </w:pPr>
      <w:r>
        <w:rPr/>
        <w:t xml:space="preserve">As noted above, Enron may acquire various interests and rights relating to the ownership and control of Holdco.  The possession of these interests by Enron raises questions as to whether PGE and HoldCo’s gas utility subsidiary will be viewed by FERC as “affiliates,” for purposes of the FERC’s restrictions on transactions between Enron’s marketing affiliates and PGE.  The FERC has addressed the issue of what type of interest triggers treatment of an entity as an affiliate.  In </w:t>
      </w:r>
      <w:r>
        <w:rPr>
          <w:rStyle w:val="VEItalic"/>
        </w:rPr>
        <w:t>Morgan Stanley et al</w:t>
      </w:r>
      <w:r>
        <w:rPr/>
        <w:t>, 72 FERC ¶ 61,082, the FERC established a rebuttable presumption that a voting interest of 10 percent or more represents control.  The Commission relied on its standards for pipeline marketing affiliates, which define “affiliate” as “another person which controls, is controlled by, or is under common control with, such person,” and which state that control includes but is not limited to, the possession, directly or indirectly and whether acting alone or in conjunction with others, of the authority to direct or cause the direction of the management or policies of a company.”</w:t>
      </w:r>
      <w:r>
        <w:rPr>
          <w:rStyle w:val="FootnoteCharacters"/>
          <w:rStyle w:val="FootnoteReference"/>
        </w:rPr>
        <w:footnoteReference w:id="3"/>
      </w:r>
    </w:p>
    <w:p>
      <w:pPr>
        <w:pStyle w:val="VEBodyTextFLI"/>
        <w:rPr/>
      </w:pPr>
      <w:r>
        <w:rPr/>
        <w:t>As noted above, in addition to cash, it is contemplated that Enron will receive securities in HoldCo and rights to select members of HoldCo’s board of directors.  Putting aside the ability to select members of HoldCo’s board, so long as the voting securities represent less than 10 percent of HoldCo’s voting securities, and prior to any conversion of non-voting stock to voting, FERC should not treat Enron’s marketing affiliates as affiliates of PGE, HoldCo or HoldCo’s gas utility subsidiary for purposes of the restrictions on transactions between affiliates.  However, it is possible that Enron’s ability to select board members would raise questions concerning affiliate relationships.</w:t>
      </w:r>
    </w:p>
    <w:p>
      <w:pPr>
        <w:pStyle w:val="VEBodyTextFLI"/>
        <w:spacing w:before="0" w:after="240"/>
        <w:rPr/>
      </w:pPr>
      <w:r>
        <w:rPr/>
        <w:t>The specific issues with which the FERC is concerned are (i) transactions in which a regulated public utility is able to divert profits from ratepayers to shareholders, by selling to affiliates at below market price or by purchasing from affiliates at above market price, and (ii) the sharing by PGE of transmission and market information to affiliates, to the disadvantage of unaffiliated competitors.  If the FERC were to conclude that PGE should still be considered an “affiliate,” under the above-cited definition, because of Enron’s continuing ability to exercise control through its ability to select board members of HoldCo, it is possible that the FERC would require that the existing affiliate prohibitions regarding transactions between Enron’s marketing affiliates and PGE remain in place so long as Enron maintains this authority.</w:t>
      </w:r>
      <w:r>
        <w:rPr>
          <w:rStyle w:val="FootnoteCharacters"/>
          <w:rStyle w:val="FootnoteReference"/>
        </w:rPr>
        <w:footnoteReference w:id="4"/>
      </w:r>
    </w:p>
    <w:sectPr>
      <w:footnotePr>
        <w:numFmt w:val="decimal"/>
      </w:footnotePr>
      <w:type w:val="continuous"/>
      <w:pgSz w:w="12240" w:h="15840"/>
      <w:pgMar w:left="1440" w:right="1440" w:gutter="0" w:header="0" w:top="1440" w:footer="72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umanst521 BT">
    <w:altName w:val="Lucida Sans Unicode"/>
    <w:charset w:val="00" w:characterSet="windows-1252"/>
    <w:family w:val="swiss"/>
    <w:pitch w:val="variable"/>
  </w:font>
  <w:font w:name="Humanst521 Lt BT">
    <w:altName w:val="Century Schoolboo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w:instrText>
    </w:r>
    <w:r>
      <w:rPr>
        <w:sz w:val="16"/>
      </w:rPr>
      <w:fldChar w:fldCharType="separate"/>
    </w:r>
    <w:r>
      <w:rPr>
        <w:sz w:val="16"/>
      </w:rPr>
      <w:t>Attachment_B-e549a481d10d398274f915af3aed06d18d5f36206ab2d85973958db76ecc9127.doc</w:t>
    </w:r>
    <w:r>
      <w:rPr>
        <w:sz w:val="16"/>
      </w:rPr>
      <w:fldChar w:fldCharType="end"/>
    </w:r>
    <w:r>
      <w:rPr>
        <w:sz w:val="16"/>
      </w:rPr>
      <w:tab/>
    </w: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FERC might consider the effects of combining Enron’s pipeline subsidiaries with Buyer’s LDC operations; this does not appear to raise competitive issues.</w:t>
      </w:r>
    </w:p>
    <w:p>
      <w:pPr>
        <w:pStyle w:val="FootnoteText"/>
        <w:rPr/>
      </w:pPr>
      <w:r>
        <w:rPr/>
      </w:r>
    </w:p>
  </w:footnote>
  <w:footnote w:id="3">
    <w:p>
      <w:pPr>
        <w:pStyle w:val="FootnoteText"/>
        <w:rPr/>
      </w:pPr>
      <w:r>
        <w:rPr>
          <w:rStyle w:val="FootnoteCharacters"/>
        </w:rPr>
        <w:footnoteRef/>
      </w:r>
      <w:r>
        <w:rPr/>
        <w:t xml:space="preserve"> </w:t>
      </w:r>
      <w:r>
        <w:rPr/>
        <w:t>18 C.F.R. § 161.2 (1995).</w:t>
      </w:r>
    </w:p>
    <w:p>
      <w:pPr>
        <w:pStyle w:val="FootnoteText"/>
        <w:rPr/>
      </w:pPr>
      <w:r>
        <w:rPr/>
      </w:r>
    </w:p>
  </w:footnote>
  <w:footnote w:id="4">
    <w:p>
      <w:pPr>
        <w:pStyle w:val="FootnoteText"/>
        <w:rPr/>
      </w:pPr>
      <w:r>
        <w:rPr>
          <w:rStyle w:val="FootnoteCharacters"/>
        </w:rPr>
        <w:footnoteRef/>
      </w:r>
      <w:r>
        <w:rPr/>
        <w:t xml:space="preserve"> </w:t>
      </w:r>
      <w:r>
        <w:rPr/>
        <w:t>PGE’s Tariff No. 11 provides, in paragraph 4.2, for PGE to sell capacity and energy to its marketing affiliates at rates no lower than the rate it charges its non-affiliates, and to purchase capacity and energy from its affiliates at rate the lowest price for such products purchased by it from on-affiliates.  PGE is required simultaneously to make the same offer it makes to purchase from or sell to its affiliates on its electronic bulletin board.</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decimal"/>
      <w:lvlText w:val="%1."/>
      <w:lvlJc w:val="start"/>
      <w:pPr>
        <w:tabs>
          <w:tab w:val="num" w:pos="360"/>
        </w:tabs>
        <w:ind w:start="0" w:hanging="0"/>
      </w:pPr>
      <w:rPr/>
    </w:lvl>
  </w:abstractNum>
  <w:abstractNum w:abstractNumId="4">
    <w:lvl w:ilvl="0">
      <w:start w:val="1"/>
      <w:numFmt w:val="upperLetter"/>
      <w:lvlText w:val="%1."/>
      <w:lvlJc w:val="start"/>
      <w:pPr>
        <w:tabs>
          <w:tab w:val="num" w:pos="360"/>
        </w:tabs>
        <w:ind w:start="0" w:hanging="0"/>
      </w:pPr>
      <w:rPr/>
    </w:lvl>
  </w:abstractNum>
  <w:abstractNum w:abstractNumId="5">
    <w:lvl w:ilvl="0">
      <w:start w:val="1"/>
      <w:numFmt w:val="upperLetter"/>
      <w:lvlText w:val="%1."/>
      <w:lvlJc w:val="start"/>
      <w:pPr>
        <w:tabs>
          <w:tab w:val="num" w:pos="1440"/>
        </w:tabs>
        <w:ind w:start="1440" w:hanging="720"/>
      </w:pPr>
      <w:rPr/>
    </w:lvl>
  </w:abstractNum>
  <w:abstractNum w:abstractNumId="6">
    <w:lvl w:ilvl="0">
      <w:start w:val="1"/>
      <w:numFmt w:val="upperRoman"/>
      <w:suff w:val="nothing"/>
      <w:lvlText w:val="SCHEDULE %1"/>
      <w:lvlJc w:val="start"/>
      <w:pPr>
        <w:tabs>
          <w:tab w:val="num" w:pos="0"/>
        </w:tabs>
        <w:ind w:start="720" w:hanging="0"/>
      </w:pPr>
      <w:rPr/>
    </w:lvl>
    <w:lvl w:ilvl="1">
      <w:start w:val="1"/>
      <w:isLgl/>
      <w:numFmt w:val="decimal"/>
      <w:lvlText w:val="%1.%2"/>
      <w:lvlJc w:val="start"/>
      <w:pPr>
        <w:tabs>
          <w:tab w:val="num" w:pos="2160"/>
        </w:tabs>
        <w:ind w:start="2160" w:hanging="720"/>
      </w:pPr>
      <w:rPr/>
    </w:lvl>
    <w:lvl w:ilvl="2">
      <w:start w:val="1"/>
      <w:numFmt w:val="lowerLetter"/>
      <w:lvlText w:val="(%3)"/>
      <w:lvlJc w:val="start"/>
      <w:pPr>
        <w:tabs>
          <w:tab w:val="num" w:pos="2880"/>
        </w:tabs>
        <w:ind w:start="2880" w:hanging="720"/>
      </w:pPr>
      <w:rPr/>
    </w:lvl>
    <w:lvl w:ilvl="3">
      <w:start w:val="1"/>
      <w:numFmt w:val="lowerRoman"/>
      <w:lvlText w:val="(%4)"/>
      <w:lvlJc w:val="start"/>
      <w:pPr>
        <w:tabs>
          <w:tab w:val="num" w:pos="3960"/>
        </w:tabs>
        <w:ind w:start="3600" w:hanging="720"/>
      </w:pPr>
      <w:rPr/>
    </w:lvl>
    <w:lvl w:ilvl="4">
      <w:start w:val="1"/>
      <w:numFmt w:val="lowerRoman"/>
      <w:lvlText w:val="(%5)"/>
      <w:lvlJc w:val="start"/>
      <w:pPr>
        <w:tabs>
          <w:tab w:val="num" w:pos="4680"/>
        </w:tabs>
        <w:ind w:start="2880" w:firstLine="720"/>
      </w:pPr>
      <w:rPr/>
    </w:lvl>
    <w:lvl w:ilvl="5">
      <w:start w:val="1"/>
      <w:numFmt w:val="upperLetter"/>
      <w:lvlText w:val="(%6)"/>
      <w:lvlJc w:val="start"/>
      <w:pPr>
        <w:tabs>
          <w:tab w:val="num" w:pos="5040"/>
        </w:tabs>
        <w:ind w:start="3600" w:firstLine="720"/>
      </w:pPr>
      <w:rPr/>
    </w:lvl>
    <w:lvl w:ilvl="6">
      <w:start w:val="1"/>
      <w:numFmt w:val="lowerRoman"/>
      <w:lvlText w:val="%7."/>
      <w:lvlJc w:val="start"/>
      <w:pPr>
        <w:ind w:start="2160" w:hanging="0"/>
      </w:pPr>
      <w:rPr/>
    </w:lvl>
    <w:lvl w:ilvl="7">
      <w:start w:val="1"/>
      <w:numFmt w:val="lowerLetter"/>
      <w:lvlText w:val="%8."/>
      <w:lvlJc w:val="start"/>
      <w:pPr>
        <w:tabs>
          <w:tab w:val="num" w:pos="1080"/>
        </w:tabs>
        <w:ind w:start="720" w:hanging="0"/>
      </w:pPr>
      <w:rPr/>
    </w:lvl>
    <w:lvl w:ilvl="8">
      <w:start w:val="1"/>
      <w:numFmt w:val="bullet"/>
      <w:lvlText w:val=""/>
      <w:lvlJc w:val="start"/>
      <w:pPr>
        <w:tabs>
          <w:tab w:val="num" w:pos="1080"/>
        </w:tabs>
        <w:ind w:start="720" w:hanging="0"/>
      </w:pPr>
      <w:rPr>
        <w:rFonts w:ascii="Symbol" w:hAnsi="Symbol" w:cs="Symbol" w:hint="default"/>
        <w:color w:val="000000"/>
      </w:rPr>
    </w:lvl>
  </w:abstractNum>
  <w:abstractNum w:abstractNumId="7">
    <w:lvl w:ilvl="0">
      <w:start w:val="1"/>
      <w:numFmt w:val="decimal"/>
      <w:lvlText w:val=" %1"/>
      <w:lvlJc w:val="start"/>
      <w:pPr>
        <w:tabs>
          <w:tab w:val="num" w:pos="0"/>
        </w:tabs>
        <w:ind w:start="0" w:hanging="0"/>
      </w:pPr>
    </w:lvl>
    <w:lvl w:ilvl="1">
      <w:start w:val="1"/>
      <w:isLgl/>
      <w:numFmt w:val="decimal"/>
      <w:lvlText w:val="%1.%2"/>
      <w:lvlJc w:val="start"/>
      <w:pPr>
        <w:tabs>
          <w:tab w:val="num" w:pos="0"/>
        </w:tabs>
        <w:ind w:start="0" w:firstLine="720"/>
      </w:pPr>
    </w:lvl>
    <w:lvl w:ilvl="2">
      <w:start w:val="1"/>
      <w:isLgl/>
      <w:numFmt w:val="decimal"/>
      <w:lvlText w:val="%1.%2.%3"/>
      <w:lvlJc w:val="start"/>
      <w:pPr>
        <w:tabs>
          <w:tab w:val="num" w:pos="0"/>
        </w:tabs>
        <w:ind w:start="0" w:firstLine="1440"/>
      </w:pPr>
    </w:lvl>
    <w:lvl w:ilvl="3">
      <w:start w:val="1"/>
      <w:isLgl/>
      <w:numFmt w:val="decimal"/>
      <w:lvlText w:val="%1.%2.%3.%4"/>
      <w:lvlJc w:val="start"/>
      <w:pPr>
        <w:tabs>
          <w:tab w:val="num" w:pos="0"/>
        </w:tabs>
        <w:ind w:start="0" w:firstLine="2160"/>
      </w:pPr>
    </w:lvl>
    <w:lvl w:ilvl="4">
      <w:start w:val="1"/>
      <w:isLgl/>
      <w:numFmt w:val="decimal"/>
      <w:lvlText w:val="%1.%2.%3.%4.%5"/>
      <w:lvlJc w:val="start"/>
      <w:pPr>
        <w:tabs>
          <w:tab w:val="num" w:pos="0"/>
        </w:tabs>
        <w:ind w:start="0" w:firstLine="2880"/>
      </w:pPr>
    </w:lvl>
    <w:lvl w:ilvl="5">
      <w:start w:val="1"/>
      <w:isLgl/>
      <w:numFmt w:val="decimal"/>
      <w:lvlText w:val="%1.%2.%3.%4.%5.%6"/>
      <w:lvlJc w:val="start"/>
      <w:pPr>
        <w:tabs>
          <w:tab w:val="num" w:pos="0"/>
        </w:tabs>
        <w:ind w:start="0" w:firstLine="3600"/>
      </w:pPr>
    </w:lvl>
    <w:lvl w:ilvl="6">
      <w:start w:val="1"/>
      <w:isLgl/>
      <w:numFmt w:val="decimal"/>
      <w:lvlText w:val="%1.%2.%3.%4.%5.%6.%7"/>
      <w:lvlJc w:val="start"/>
      <w:pPr>
        <w:tabs>
          <w:tab w:val="num" w:pos="0"/>
        </w:tabs>
        <w:ind w:start="0" w:firstLine="4320"/>
      </w:pPr>
    </w:lvl>
    <w:lvl w:ilvl="7">
      <w:start w:val="1"/>
      <w:isLgl/>
      <w:numFmt w:val="decimal"/>
      <w:lvlText w:val="%1.%2.%3.%4.%5.%6.%7.%8"/>
      <w:lvlJc w:val="start"/>
      <w:pPr>
        <w:tabs>
          <w:tab w:val="num" w:pos="0"/>
        </w:tabs>
        <w:ind w:start="0" w:firstLine="5040"/>
      </w:pPr>
    </w:lvl>
    <w:lvl w:ilvl="8">
      <w:start w:val="1"/>
      <w:isLgl/>
      <w:numFmt w:val="decimal"/>
      <w:lvlText w:val="%1.%2.%3.%4.%5.%6.%7.%8.%9"/>
      <w:lvlJc w:val="start"/>
      <w:pPr>
        <w:tabs>
          <w:tab w:val="num" w:pos="0"/>
        </w:tabs>
        <w:ind w:start="0" w:firstLine="5760"/>
      </w:pPr>
    </w:lvl>
  </w:abstractNum>
  <w:abstractNum w:abstractNumId="8">
    <w:lvl w:ilvl="0">
      <w:start w:val="1"/>
      <w:numFmt w:val="bullet"/>
      <w:lvlText w:val=""/>
      <w:lvlJc w:val="start"/>
      <w:pPr>
        <w:tabs>
          <w:tab w:val="num" w:pos="1440"/>
        </w:tabs>
        <w:ind w:start="1440" w:hanging="72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Arial"/>
      <w:color w:val="auto"/>
      <w:sz w:val="24"/>
      <w:szCs w:val="24"/>
      <w:lang w:val="en-US" w:bidi="ar-SA" w:eastAsia="zh-CN"/>
    </w:rPr>
  </w:style>
  <w:style w:type="paragraph" w:styleId="Heading3">
    <w:name w:val="heading 3"/>
    <w:basedOn w:val="Normal"/>
    <w:next w:val="Normal"/>
    <w:qFormat/>
    <w:pPr>
      <w:keepNext w:val="true"/>
      <w:numPr>
        <w:ilvl w:val="2"/>
        <w:numId w:val="1"/>
      </w:numPr>
      <w:spacing w:before="240" w:after="240"/>
      <w:outlineLvl w:val="2"/>
    </w:pPr>
    <w:rPr>
      <w:rFonts w:cs="Times New Roman"/>
      <w:b/>
      <w:sz w:val="26"/>
      <w:szCs w:val="26"/>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6z8">
    <w:name w:val="WW8Num16z8"/>
    <w:qFormat/>
    <w:rPr>
      <w:rFonts w:ascii="Symbol" w:hAnsi="Symbol" w:cs="Symbol"/>
      <w:color w:val="000000"/>
    </w:rPr>
  </w:style>
  <w:style w:type="character" w:styleId="WW8Num18z0">
    <w:name w:val="WW8Num18z0"/>
    <w:qFormat/>
    <w:rPr>
      <w:rFonts w:ascii="Symbol" w:hAnsi="Symbol" w:cs="Symbol"/>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FootnoteCharacters">
    <w:name w:val="Footnote Characters"/>
    <w:basedOn w:val="DefaultParagraphFont"/>
    <w:qFormat/>
    <w:rPr>
      <w:vertAlign w:val="superscript"/>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character" w:styleId="VECaption">
    <w:name w:val="VE Caption"/>
    <w:basedOn w:val="DefaultParagraphFont"/>
    <w:qFormat/>
    <w:rPr>
      <w:i/>
    </w:rPr>
  </w:style>
  <w:style w:type="character" w:styleId="VEDefinitions">
    <w:name w:val="VE Definitions"/>
    <w:basedOn w:val="DefaultParagraphFont"/>
    <w:qFormat/>
    <w:rPr>
      <w:b/>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rFonts w:cs="Arial"/>
    </w:rPr>
  </w:style>
  <w:style w:type="paragraph" w:styleId="VE123List">
    <w:name w:val="VE 123 List"/>
    <w:basedOn w:val="VENormal"/>
    <w:qFormat/>
    <w:pPr>
      <w:numPr>
        <w:ilvl w:val="0"/>
        <w:numId w:val="2"/>
      </w:numPr>
      <w:tabs>
        <w:tab w:val="clear" w:pos="720"/>
      </w:tabs>
      <w:spacing w:before="0" w:after="240"/>
    </w:pPr>
    <w:rPr/>
  </w:style>
  <w:style w:type="paragraph" w:styleId="VEABCList">
    <w:name w:val="VE ABC List"/>
    <w:basedOn w:val="VENormal"/>
    <w:qFormat/>
    <w:pPr>
      <w:numPr>
        <w:ilvl w:val="0"/>
        <w:numId w:val="5"/>
      </w:numPr>
      <w:tabs>
        <w:tab w:val="clear" w:pos="720"/>
      </w:tabs>
      <w:spacing w:before="0" w:after="240"/>
    </w:pPr>
    <w:rPr/>
  </w:style>
  <w:style w:type="paragraph" w:styleId="VEAlignedText">
    <w:name w:val="VE Aligned Text"/>
    <w:basedOn w:val="VENormal"/>
    <w:qFormat/>
    <w:pPr>
      <w:tabs>
        <w:tab w:val="clear" w:pos="720"/>
        <w:tab w:val="center" w:pos="4680" w:leader="none"/>
        <w:tab w:val="right" w:pos="9360" w:leader="none"/>
      </w:tabs>
    </w:pPr>
    <w:rPr/>
  </w:style>
  <w:style w:type="paragraph" w:styleId="VEBodyText1">
    <w:name w:val="VE Body Text 1"/>
    <w:basedOn w:val="VENormal"/>
    <w:qFormat/>
    <w:pPr>
      <w:spacing w:before="0" w:after="240"/>
    </w:pPr>
    <w:rPr/>
  </w:style>
  <w:style w:type="paragraph" w:styleId="VEBodyText2">
    <w:name w:val="VE Body Text 2"/>
    <w:basedOn w:val="VENormal"/>
    <w:qFormat/>
    <w:pPr>
      <w:spacing w:before="0" w:after="240"/>
    </w:pPr>
    <w:rPr/>
  </w:style>
  <w:style w:type="paragraph" w:styleId="VEBodyText3">
    <w:name w:val="VE Body Text 3"/>
    <w:basedOn w:val="VENormal"/>
    <w:qFormat/>
    <w:pPr>
      <w:spacing w:before="0" w:after="240"/>
    </w:pPr>
    <w:rPr/>
  </w:style>
  <w:style w:type="paragraph" w:styleId="VEBodyText4">
    <w:name w:val="VE Body Text 4"/>
    <w:basedOn w:val="VENormal"/>
    <w:qFormat/>
    <w:pPr>
      <w:spacing w:before="0" w:after="240"/>
    </w:pPr>
    <w:rPr/>
  </w:style>
  <w:style w:type="paragraph" w:styleId="VEBodyText5">
    <w:name w:val="VE Body Text 5"/>
    <w:basedOn w:val="VENormal"/>
    <w:qFormat/>
    <w:pPr>
      <w:spacing w:before="0" w:after="240"/>
    </w:pPr>
    <w:rPr/>
  </w:style>
  <w:style w:type="paragraph" w:styleId="VEBodyText6">
    <w:name w:val="VE Body Text 6"/>
    <w:basedOn w:val="VENormal"/>
    <w:qFormat/>
    <w:pPr>
      <w:spacing w:before="0" w:after="240"/>
    </w:pPr>
    <w:rPr/>
  </w:style>
  <w:style w:type="paragraph" w:styleId="VEBodyText7">
    <w:name w:val="VE Body Text 7"/>
    <w:basedOn w:val="VENormal"/>
    <w:qFormat/>
    <w:pPr>
      <w:spacing w:before="0" w:after="240"/>
    </w:pPr>
    <w:rPr/>
  </w:style>
  <w:style w:type="paragraph" w:styleId="VEBodyText8">
    <w:name w:val="VE Body Text 8"/>
    <w:basedOn w:val="VENormal"/>
    <w:qFormat/>
    <w:pPr>
      <w:spacing w:before="0" w:after="240"/>
    </w:pPr>
    <w:rPr/>
  </w:style>
  <w:style w:type="paragraph" w:styleId="VEBodyText9">
    <w:name w:val="VE Body Text 9"/>
    <w:basedOn w:val="VENormal"/>
    <w:qFormat/>
    <w:pPr>
      <w:spacing w:before="0" w:after="240"/>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FootnoteText">
    <w:name w:val="footnote text"/>
    <w:basedOn w:val="Normal"/>
    <w:pPr/>
    <w:rPr>
      <w:sz w:val="20"/>
      <w:szCs w:val="20"/>
    </w:rPr>
  </w:style>
  <w:style w:type="paragraph" w:styleId="VEBodyTextQuote5">
    <w:name w:val="VE Body Text Quote .5"/>
    <w:basedOn w:val="VENormal"/>
    <w:qFormat/>
    <w:pPr>
      <w:spacing w:before="0" w:after="240"/>
      <w:ind w:hanging="0" w:start="720" w:end="720"/>
    </w:pPr>
    <w:rPr/>
  </w:style>
  <w:style w:type="paragraph" w:styleId="VEBodyTextQuote1">
    <w:name w:val="VE Body Text Quote 1"/>
    <w:basedOn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8"/>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FLI"/>
    <w:qFormat/>
    <w:pPr>
      <w:numPr>
        <w:ilvl w:val="0"/>
        <w:numId w:val="7"/>
      </w:numPr>
      <w:spacing w:before="0" w:after="240"/>
      <w:outlineLvl w:val="0"/>
    </w:pPr>
    <w:rPr>
      <w:bCs/>
    </w:rPr>
  </w:style>
  <w:style w:type="paragraph" w:styleId="VENumbered2">
    <w:name w:val="VE Numbered 2"/>
    <w:basedOn w:val="VENormal"/>
    <w:next w:val="VEBodyTextFLI"/>
    <w:qFormat/>
    <w:pPr>
      <w:numPr>
        <w:ilvl w:val="0"/>
        <w:numId w:val="7"/>
      </w:numPr>
      <w:spacing w:before="0" w:after="240"/>
      <w:outlineLvl w:val="1"/>
    </w:pPr>
    <w:rPr/>
  </w:style>
  <w:style w:type="paragraph" w:styleId="VENumbered3">
    <w:name w:val="VE Numbered 3"/>
    <w:basedOn w:val="VENormal"/>
    <w:next w:val="VEBodyTextFLI"/>
    <w:qFormat/>
    <w:pPr>
      <w:numPr>
        <w:ilvl w:val="0"/>
        <w:numId w:val="7"/>
      </w:numPr>
      <w:spacing w:before="0" w:after="240"/>
      <w:outlineLvl w:val="2"/>
    </w:pPr>
    <w:rPr/>
  </w:style>
  <w:style w:type="paragraph" w:styleId="VENumbered4">
    <w:name w:val="VE Numbered 4"/>
    <w:basedOn w:val="VENormal"/>
    <w:next w:val="VEBodyTextFLI"/>
    <w:qFormat/>
    <w:pPr>
      <w:numPr>
        <w:ilvl w:val="0"/>
        <w:numId w:val="7"/>
      </w:numPr>
      <w:spacing w:before="0" w:after="240"/>
      <w:outlineLvl w:val="3"/>
    </w:pPr>
    <w:rPr/>
  </w:style>
  <w:style w:type="paragraph" w:styleId="VENumbered5">
    <w:name w:val="VE Numbered 5"/>
    <w:basedOn w:val="VENormal"/>
    <w:next w:val="VEBodyTextFLI"/>
    <w:qFormat/>
    <w:pPr>
      <w:numPr>
        <w:ilvl w:val="0"/>
        <w:numId w:val="7"/>
      </w:numPr>
      <w:spacing w:before="0" w:after="240"/>
      <w:outlineLvl w:val="4"/>
    </w:pPr>
    <w:rPr/>
  </w:style>
  <w:style w:type="paragraph" w:styleId="VENumbered6">
    <w:name w:val="VE Numbered 6"/>
    <w:basedOn w:val="VENormal"/>
    <w:next w:val="VEBodyTextFLI"/>
    <w:qFormat/>
    <w:pPr>
      <w:numPr>
        <w:ilvl w:val="0"/>
        <w:numId w:val="7"/>
      </w:numPr>
      <w:spacing w:before="0" w:after="240"/>
      <w:outlineLvl w:val="5"/>
    </w:pPr>
    <w:rPr/>
  </w:style>
  <w:style w:type="paragraph" w:styleId="VENumbered7">
    <w:name w:val="VE Numbered 7"/>
    <w:basedOn w:val="VENormal"/>
    <w:next w:val="VEBodyTextFLI"/>
    <w:qFormat/>
    <w:pPr>
      <w:numPr>
        <w:ilvl w:val="0"/>
        <w:numId w:val="7"/>
      </w:numPr>
      <w:spacing w:before="0" w:after="240"/>
      <w:outlineLvl w:val="6"/>
    </w:pPr>
    <w:rPr/>
  </w:style>
  <w:style w:type="paragraph" w:styleId="VENumbered8">
    <w:name w:val="VE Numbered 8"/>
    <w:basedOn w:val="VENormal"/>
    <w:next w:val="VEBodyTextFLI"/>
    <w:qFormat/>
    <w:pPr>
      <w:numPr>
        <w:ilvl w:val="0"/>
        <w:numId w:val="7"/>
      </w:numPr>
      <w:spacing w:before="0" w:after="240"/>
      <w:outlineLvl w:val="7"/>
    </w:pPr>
    <w:rPr/>
  </w:style>
  <w:style w:type="paragraph" w:styleId="VENumbered9">
    <w:name w:val="VE Numbered 9"/>
    <w:basedOn w:val="VENormal"/>
    <w:next w:val="VEBodyTextFLI"/>
    <w:qFormat/>
    <w:pPr>
      <w:numPr>
        <w:ilvl w:val="0"/>
        <w:numId w:val="7"/>
      </w:numPr>
      <w:spacing w:before="0" w:after="24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MemoHeading">
    <w:name w:val="VE Memo Heading"/>
    <w:basedOn w:val="VEBodyText"/>
    <w:next w:val="VEBodyText"/>
    <w:qFormat/>
    <w:pPr>
      <w:spacing w:before="840" w:after="240"/>
      <w:jc w:val="center"/>
    </w:pPr>
    <w:rPr>
      <w:rFonts w:cs="Times New Roman"/>
      <w:b/>
      <w:bCs/>
      <w:caps/>
      <w:spacing w:val="180"/>
      <w:kern w:val="2"/>
      <w:sz w:val="28"/>
      <w:szCs w:val="20"/>
    </w:rPr>
  </w:style>
  <w:style w:type="paragraph" w:styleId="VESubHeading">
    <w:name w:val="VE Sub Heading"/>
    <w:basedOn w:val="VENormal"/>
    <w:next w:val="VEBodyText"/>
    <w:qFormat/>
    <w:pPr>
      <w:spacing w:before="0" w:after="240"/>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3"/>
      </w:numPr>
      <w:tabs>
        <w:tab w:val="clear" w:pos="720"/>
      </w:tabs>
    </w:pPr>
    <w:rPr/>
  </w:style>
  <w:style w:type="paragraph" w:styleId="VETableABC">
    <w:name w:val="VE Table ABC"/>
    <w:basedOn w:val="VENormal"/>
    <w:qFormat/>
    <w:pPr>
      <w:numPr>
        <w:ilvl w:val="0"/>
        <w:numId w:val="4"/>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BodyTextFLI15">
    <w:name w:val="VE Body Text FLI 1.5"/>
    <w:basedOn w:val="VENormal"/>
    <w:qFormat/>
    <w:pPr>
      <w:spacing w:before="0" w:after="240"/>
      <w:ind w:firstLine="2160" w:start="0" w:end="0"/>
    </w:pPr>
    <w:rPr/>
  </w:style>
  <w:style w:type="paragraph" w:styleId="VEInsideAddress">
    <w:name w:val="VE Inside Address"/>
    <w:basedOn w:val="VENormal"/>
    <w:qFormat/>
    <w:pPr>
      <w:spacing w:before="0" w:after="240"/>
      <w:jc w:val="start"/>
    </w:pPr>
    <w:rPr/>
  </w:style>
  <w:style w:type="paragraph" w:styleId="VEInsideAddressNS">
    <w:name w:val="VE Inside Address NS"/>
    <w:basedOn w:val="VENormal"/>
    <w:qFormat/>
    <w:pPr>
      <w:jc w:val="start"/>
    </w:pPr>
    <w:rPr/>
  </w:style>
  <w:style w:type="paragraph" w:styleId="VEBodyTextFLI2">
    <w:name w:val="VE Body Text FLI 2"/>
    <w:basedOn w:val="VENormal"/>
    <w:qFormat/>
    <w:pPr>
      <w:spacing w:before="0" w:after="240"/>
      <w:ind w:firstLine="2880" w:start="0" w:end="0"/>
    </w:pPr>
    <w:rPr/>
  </w:style>
  <w:style w:type="paragraph" w:styleId="VESchedule1">
    <w:name w:val="VE Schedule 1"/>
    <w:basedOn w:val="VENormal"/>
    <w:next w:val="VEBodyTextFLI"/>
    <w:qFormat/>
    <w:pPr>
      <w:numPr>
        <w:ilvl w:val="0"/>
        <w:numId w:val="6"/>
      </w:numPr>
      <w:spacing w:before="0" w:after="240"/>
      <w:ind w:hanging="0" w:start="0" w:end="0"/>
      <w:jc w:val="start"/>
    </w:pPr>
    <w:rPr/>
  </w:style>
  <w:style w:type="paragraph" w:styleId="VESchedule2">
    <w:name w:val="VE Schedule 2"/>
    <w:basedOn w:val="VENormal"/>
    <w:next w:val="VEBodyTextFLI"/>
    <w:qFormat/>
    <w:pPr>
      <w:numPr>
        <w:ilvl w:val="0"/>
        <w:numId w:val="6"/>
      </w:numPr>
      <w:tabs>
        <w:tab w:val="clear" w:pos="720"/>
      </w:tabs>
      <w:spacing w:before="0" w:after="240"/>
      <w:ind w:hanging="0" w:start="0" w:end="0"/>
    </w:pPr>
    <w:rPr/>
  </w:style>
  <w:style w:type="paragraph" w:styleId="VESchedule3">
    <w:name w:val="VE Schedule 3"/>
    <w:basedOn w:val="VENormal"/>
    <w:next w:val="VEBodyTextFLI"/>
    <w:qFormat/>
    <w:pPr>
      <w:numPr>
        <w:ilvl w:val="0"/>
        <w:numId w:val="6"/>
      </w:numPr>
      <w:tabs>
        <w:tab w:val="clear" w:pos="720"/>
      </w:tabs>
      <w:spacing w:before="0" w:after="240"/>
      <w:ind w:hanging="0" w:start="0" w:end="0"/>
    </w:pPr>
    <w:rPr/>
  </w:style>
  <w:style w:type="paragraph" w:styleId="VESchedule4">
    <w:name w:val="VE Schedule 4"/>
    <w:basedOn w:val="VENormal"/>
    <w:next w:val="VEBodyTextFLI"/>
    <w:qFormat/>
    <w:pPr>
      <w:numPr>
        <w:ilvl w:val="0"/>
        <w:numId w:val="6"/>
      </w:numPr>
      <w:tabs>
        <w:tab w:val="clear" w:pos="720"/>
      </w:tabs>
      <w:spacing w:before="0" w:after="240"/>
      <w:ind w:hanging="0" w:start="0" w:end="0"/>
    </w:pPr>
    <w:rPr/>
  </w:style>
  <w:style w:type="paragraph" w:styleId="VEScheduleText1">
    <w:name w:val="VE Schedule Text 1"/>
    <w:basedOn w:val="VENormal"/>
    <w:qFormat/>
    <w:pPr>
      <w:spacing w:before="0" w:after="240"/>
    </w:pPr>
    <w:rPr/>
  </w:style>
  <w:style w:type="paragraph" w:styleId="VEScheduleText2">
    <w:name w:val="VE Schedule Text 2"/>
    <w:basedOn w:val="VENormal"/>
    <w:qFormat/>
    <w:pPr>
      <w:spacing w:before="0" w:after="240"/>
    </w:pPr>
    <w:rPr/>
  </w:style>
  <w:style w:type="paragraph" w:styleId="VEScheduleText3">
    <w:name w:val="VE Schedule Text 3"/>
    <w:basedOn w:val="VENormal"/>
    <w:qFormat/>
    <w:pPr>
      <w:spacing w:before="0" w:after="240"/>
    </w:pPr>
    <w:rPr/>
  </w:style>
  <w:style w:type="paragraph" w:styleId="VEScheduleText4">
    <w:name w:val="VE Schedule Text 4"/>
    <w:basedOn w:val="VENormal"/>
    <w:qFormat/>
    <w:pPr>
      <w:spacing w:before="0" w:after="240"/>
    </w:pPr>
    <w:rPr/>
  </w:style>
  <w:style w:type="paragraph" w:styleId="VESigBlockBoth">
    <w:name w:val="VE Sig Block Both"/>
    <w:basedOn w:val="VENormal"/>
    <w:qFormat/>
    <w:pPr>
      <w:keepNext w:val="true"/>
      <w:tabs>
        <w:tab w:val="clear" w:pos="720"/>
        <w:tab w:val="left" w:pos="1080" w:leader="none"/>
        <w:tab w:val="right" w:pos="4320" w:leader="underscore"/>
        <w:tab w:val="left" w:pos="5040" w:leader="none"/>
        <w:tab w:val="left" w:pos="6120" w:leader="none"/>
        <w:tab w:val="right" w:pos="9360" w:leader="underscore"/>
      </w:tabs>
      <w:jc w:val="start"/>
    </w:pPr>
    <w:rPr/>
  </w:style>
  <w:style w:type="paragraph" w:styleId="VESigBlockLeft">
    <w:name w:val="VE Sig Block Left"/>
    <w:basedOn w:val="VENormal"/>
    <w:qFormat/>
    <w:pPr>
      <w:tabs>
        <w:tab w:val="clear" w:pos="720"/>
        <w:tab w:val="left" w:pos="1080" w:leader="none"/>
        <w:tab w:val="right" w:pos="4320" w:leader="underscore"/>
      </w:tabs>
    </w:pPr>
    <w:rPr/>
  </w:style>
  <w:style w:type="paragraph" w:styleId="VESigBlockRight">
    <w:name w:val="VE Sig Block Right"/>
    <w:basedOn w:val="VENormal"/>
    <w:qFormat/>
    <w:pPr>
      <w:tabs>
        <w:tab w:val="clear" w:pos="720"/>
        <w:tab w:val="left" w:pos="4320" w:leader="none"/>
        <w:tab w:val="left" w:pos="5400" w:leader="none"/>
        <w:tab w:val="right" w:pos="9360" w:leader="underscore"/>
      </w:tabs>
    </w:pPr>
    <w:rPr/>
  </w:style>
  <w:style w:type="paragraph" w:styleId="VESigBlockText">
    <w:name w:val="VE Sig Block Text"/>
    <w:basedOn w:val="VENormal"/>
    <w:qFormat/>
    <w:pPr>
      <w:tabs>
        <w:tab w:val="clear" w:pos="720"/>
        <w:tab w:val="left" w:pos="1080" w:leader="none"/>
        <w:tab w:val="left" w:pos="6120" w:leader="none"/>
        <w:tab w:val="right" w:pos="9360" w:leader="none"/>
      </w:tabs>
      <w:jc w:val="start"/>
    </w:pPr>
    <w:rPr/>
  </w:style>
  <w:style w:type="paragraph" w:styleId="VETitleBoldCenterItalic">
    <w:name w:val="VE Title Bold Center Italic"/>
    <w:basedOn w:val="VENormal"/>
    <w:next w:val="VESubTitle"/>
    <w:qFormat/>
    <w:pPr>
      <w:jc w:val="center"/>
    </w:pPr>
    <w:rPr>
      <w:b/>
      <w:i/>
    </w:rPr>
  </w:style>
  <w:style w:type="paragraph" w:styleId="VEDate">
    <w:name w:val="VE Date"/>
    <w:basedOn w:val="VEBodyText"/>
    <w:next w:val="VEBodyText"/>
    <w:qFormat/>
    <w:pPr>
      <w:spacing w:before="0" w:after="480"/>
      <w:jc w:val="center"/>
    </w:pPr>
    <w:rPr>
      <w:rFonts w:cs="Times New Roman"/>
      <w:szCs w:val="20"/>
    </w:rPr>
  </w:style>
  <w:style w:type="paragraph" w:styleId="VECenteredAddressBlock">
    <w:name w:val="VE Centered Address Block"/>
    <w:basedOn w:val="VEBodyTextNoSpace"/>
    <w:qFormat/>
    <w:pPr>
      <w:spacing w:lineRule="auto" w:line="300"/>
      <w:jc w:val="center"/>
    </w:pPr>
    <w:rPr>
      <w:rFonts w:ascii="Humanst521 BT;Lucida Sans Unicode" w:hAnsi="Humanst521 BT;Lucida Sans Unicode" w:cs="Times New Roman"/>
      <w:spacing w:val="19"/>
      <w:sz w:val="12"/>
      <w:szCs w:val="20"/>
    </w:rPr>
  </w:style>
  <w:style w:type="paragraph" w:styleId="VELeftAddressBlock">
    <w:name w:val="VE Left Address Block"/>
    <w:basedOn w:val="VEBodyTextNoSpace"/>
    <w:qFormat/>
    <w:pPr>
      <w:spacing w:lineRule="auto" w:line="300"/>
    </w:pPr>
    <w:rPr>
      <w:rFonts w:ascii="Humanst521 BT;Lucida Sans Unicode" w:hAnsi="Humanst521 BT;Lucida Sans Unicode" w:cs="Times New Roman"/>
      <w:spacing w:val="19"/>
      <w:sz w:val="12"/>
      <w:szCs w:val="20"/>
    </w:rPr>
  </w:style>
  <w:style w:type="paragraph" w:styleId="VERightAddressBlock">
    <w:name w:val="VE Right Address Block"/>
    <w:basedOn w:val="VEBodyTextNoSpace"/>
    <w:qFormat/>
    <w:pPr>
      <w:spacing w:lineRule="auto" w:line="300"/>
      <w:jc w:val="end"/>
    </w:pPr>
    <w:rPr>
      <w:rFonts w:ascii="Humanst521 BT;Lucida Sans Unicode" w:hAnsi="Humanst521 BT;Lucida Sans Unicode" w:cs="Times New Roman"/>
      <w:spacing w:val="19"/>
      <w:sz w:val="12"/>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2001-08-18T00:26:00Z</dcterms:created>
  <dc:creator>Adam Wenner</dc:creator>
  <dc:description/>
  <dc:language>en-CA</dc:language>
  <cp:lastModifiedBy>pkaufma</cp:lastModifiedBy>
  <cp:lastPrinted>2001-08-10T17:39:00Z</cp:lastPrinted>
  <dcterms:modified xsi:type="dcterms:W3CDTF">2001-08-18T00:26:00Z</dcterms:modified>
  <cp:revision>2</cp:revision>
  <dc:subject/>
  <dc:title>Memorandum to:  Enron Corp</dc:title>
</cp:coreProperties>
</file>