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120"/>
        <w:ind w:hanging="0" w:start="0"/>
        <w:jc w:val="center"/>
        <w:rPr/>
      </w:pPr>
      <w:r>
        <w:rPr/>
        <w:t>Attachment A</w:t>
      </w:r>
    </w:p>
    <w:p>
      <w:pPr>
        <w:pStyle w:val="Heading2"/>
        <w:ind w:hanging="0" w:start="0"/>
        <w:jc w:val="center"/>
        <w:rPr/>
      </w:pPr>
      <w:r>
        <w:rPr/>
        <w:t>Financial Information</w:t>
      </w:r>
      <w:bookmarkStart w:id="0" w:name="financial"/>
      <w:bookmarkEnd w:id="0"/>
    </w:p>
    <w:p>
      <w:pPr>
        <w:pStyle w:val="BodyText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Seller’s legal name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Enron Power Marketing, Inc.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Physical address</w:t>
            </w:r>
          </w:p>
        </w:tc>
        <w:tc>
          <w:tcPr>
            <w:tcW w:w="4428" w:type="dxa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1400 Smith Street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77002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Federal tax identification number</w:t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760413675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1566"/>
        <w:gridCol w:w="2952"/>
      </w:tblGrid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Seller is a (check all that apply):</w:t>
            </w:r>
          </w:p>
        </w:tc>
        <w:tc>
          <w:tcPr>
            <w:tcW w:w="1566" w:type="dxa"/>
            <w:tcBorders/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corporation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partnership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joint venture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sole proprietorship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In what state?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other (attach description)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25"/>
        <w:gridCol w:w="3831"/>
      </w:tblGrid>
      <w:tr>
        <w:trPr/>
        <w:tc>
          <w:tcPr>
            <w:tcW w:w="5025" w:type="dxa"/>
            <w:tcBorders/>
          </w:tcPr>
          <w:p>
            <w:pPr>
              <w:pStyle w:val="Normal"/>
              <w:rPr/>
            </w:pPr>
            <w:r>
              <w:rPr/>
              <w:t>Entity supporting the creditworthiness of the Seller.</w:t>
            </w:r>
          </w:p>
        </w:tc>
        <w:tc>
          <w:tcPr>
            <w:tcW w:w="3831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1302"/>
        <w:gridCol w:w="1038"/>
        <w:gridCol w:w="1449"/>
        <w:gridCol w:w="2691"/>
      </w:tblGrid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Credit Rating</w:t>
            </w:r>
          </w:p>
        </w:tc>
        <w:tc>
          <w:tcPr>
            <w:tcW w:w="1302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038" w:type="dxa"/>
            <w:tcBorders/>
          </w:tcPr>
          <w:p>
            <w:pPr>
              <w:pStyle w:val="Normal"/>
              <w:rPr/>
            </w:pPr>
            <w:r>
              <w:rPr/>
              <w:t>Sources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Baa2</w:t>
            </w:r>
          </w:p>
        </w:tc>
        <w:tc>
          <w:tcPr>
            <w:tcW w:w="2691" w:type="dxa"/>
            <w:tcBorders/>
          </w:tcPr>
          <w:p>
            <w:pPr>
              <w:pStyle w:val="Normal"/>
              <w:rPr/>
            </w:pPr>
            <w:r>
              <w:rPr/>
              <w:t>Moody’s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Senior Debt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9" w:type="dxa"/>
            <w:tcBorders/>
          </w:tcPr>
          <w:p>
            <w:pPr>
              <w:pStyle w:val="Normal"/>
              <w:rPr/>
            </w:pPr>
            <w:r>
              <w:rPr/>
              <w:t>BBB+</w:t>
            </w:r>
          </w:p>
        </w:tc>
        <w:tc>
          <w:tcPr>
            <w:tcW w:w="2691" w:type="dxa"/>
            <w:tcBorders/>
          </w:tcPr>
          <w:p>
            <w:pPr>
              <w:pStyle w:val="Normal"/>
              <w:rPr/>
            </w:pPr>
            <w:r>
              <w:rPr/>
              <w:t>Standard &amp; Poor’s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BBB+</w:t>
            </w:r>
          </w:p>
        </w:tc>
        <w:tc>
          <w:tcPr>
            <w:tcW w:w="2691" w:type="dxa"/>
            <w:tcBorders/>
          </w:tcPr>
          <w:p>
            <w:pPr>
              <w:pStyle w:val="Normal"/>
              <w:rPr/>
            </w:pPr>
            <w:r>
              <w:rPr/>
              <w:t>Fitch’s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BBB+</w:t>
            </w:r>
          </w:p>
        </w:tc>
        <w:tc>
          <w:tcPr>
            <w:tcW w:w="2691" w:type="dxa"/>
            <w:tcBorders/>
          </w:tcPr>
          <w:p>
            <w:pPr>
              <w:pStyle w:val="Normal"/>
              <w:rPr/>
            </w:pPr>
            <w:r>
              <w:rPr/>
              <w:t>Duff &amp; Phelps’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1302"/>
        <w:gridCol w:w="1038"/>
        <w:gridCol w:w="1458"/>
        <w:gridCol w:w="2682"/>
      </w:tblGrid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Credit Rating</w:t>
            </w:r>
          </w:p>
        </w:tc>
        <w:tc>
          <w:tcPr>
            <w:tcW w:w="1302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038" w:type="dxa"/>
            <w:tcBorders/>
          </w:tcPr>
          <w:p>
            <w:pPr>
              <w:pStyle w:val="Normal"/>
              <w:rPr/>
            </w:pPr>
            <w:r>
              <w:rPr/>
              <w:t>Sources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P-2</w:t>
            </w:r>
          </w:p>
        </w:tc>
        <w:tc>
          <w:tcPr>
            <w:tcW w:w="2682" w:type="dxa"/>
            <w:tcBorders/>
          </w:tcPr>
          <w:p>
            <w:pPr>
              <w:pStyle w:val="Normal"/>
              <w:rPr/>
            </w:pPr>
            <w:r>
              <w:rPr/>
              <w:t>Moody’s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Commercial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/>
          </w:tcPr>
          <w:p>
            <w:pPr>
              <w:pStyle w:val="Normal"/>
              <w:rPr/>
            </w:pPr>
            <w:r>
              <w:rPr/>
              <w:t>A-2</w:t>
            </w:r>
          </w:p>
        </w:tc>
        <w:tc>
          <w:tcPr>
            <w:tcW w:w="2682" w:type="dxa"/>
            <w:tcBorders/>
          </w:tcPr>
          <w:p>
            <w:pPr>
              <w:pStyle w:val="Normal"/>
              <w:rPr/>
            </w:pPr>
            <w:r>
              <w:rPr/>
              <w:t>Standard &amp; Poor’s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Paper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F-2</w:t>
            </w:r>
          </w:p>
        </w:tc>
        <w:tc>
          <w:tcPr>
            <w:tcW w:w="2682" w:type="dxa"/>
            <w:tcBorders/>
          </w:tcPr>
          <w:p>
            <w:pPr>
              <w:pStyle w:val="Normal"/>
              <w:rPr/>
            </w:pPr>
            <w:r>
              <w:rPr/>
              <w:t>Fitch’s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D-2</w:t>
            </w:r>
          </w:p>
        </w:tc>
        <w:tc>
          <w:tcPr>
            <w:tcW w:w="2682" w:type="dxa"/>
            <w:tcBorders/>
          </w:tcPr>
          <w:p>
            <w:pPr>
              <w:pStyle w:val="Normal"/>
              <w:rPr/>
            </w:pPr>
            <w:r>
              <w:rPr/>
              <w:t>Duff &amp; Phelps’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Dun &amp; Bradstreet Identification Number</w:t>
            </w:r>
          </w:p>
        </w:tc>
        <w:tc>
          <w:tcPr>
            <w:tcW w:w="442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00-697-0404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Not an Offer, For Discussion Purposes Only</w:t>
    </w:r>
  </w:p>
  <w:p>
    <w:pPr>
      <w:pStyle w:val="Header"/>
      <w:jc w:val="end"/>
      <w:rPr>
        <w:b/>
      </w:rPr>
    </w:pPr>
    <w:r>
      <w:rPr>
        <w:b/>
      </w:rPr>
      <w:t>Proprietary &amp; Confidential Information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80" w:before="240" w:after="120"/>
      <w:outlineLvl w:val="1"/>
    </w:pPr>
    <w:rPr>
      <w:rFonts w:ascii="Arial" w:hAnsi="Arial" w:cs="Arial"/>
      <w:b/>
      <w:kern w:val="2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St2z0">
    <w:name w:val="WW8NumSt2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rFonts w:ascii="Arial" w:hAnsi="Arial" w:cs="Arial"/>
      <w:sz w:val="22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List"/>
    <w:qFormat/>
    <w:pPr>
      <w:numPr>
        <w:ilvl w:val="0"/>
        <w:numId w:val="2"/>
      </w:numPr>
      <w:spacing w:before="0" w:after="120"/>
      <w:ind w:hanging="360" w:start="1440" w:end="0"/>
    </w:pPr>
    <w:rPr>
      <w:rFonts w:ascii="Arial" w:hAnsi="Arial" w:cs="Arial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2001-01-30T16:16:00Z</dcterms:created>
  <dc:creator>Michael J. Curry</dc:creator>
  <dc:description/>
  <dc:language>en-CA</dc:language>
  <cp:lastModifiedBy>Mike Curry</cp:lastModifiedBy>
  <cp:lastPrinted>2001-01-30T15:44:00Z</cp:lastPrinted>
  <dcterms:modified xsi:type="dcterms:W3CDTF">2001-01-30T19:14:00Z</dcterms:modified>
  <cp:revision>4</cp:revision>
  <dc:subject/>
  <dc:title>Bidder Financial Information</dc:title>
</cp:coreProperties>
</file>