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11" w:after="0"/>
        <w:ind w:start="198" w:end="198"/>
        <w:rPr>
          <w:rFonts w:ascii="Arial Narrow" w:hAnsi="Arial Narrow" w:cs="Arial Narrow"/>
        </w:rPr>
      </w:pPr>
      <w:r>
        <w:rPr/>
        <w:drawing>
          <wp:inline distT="0" distB="0" distL="0" distR="0">
            <wp:extent cx="906780" cy="9067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15" r="-15" b="-15"/>
                    <a:stretch>
                      <a:fillRect/>
                    </a:stretch>
                  </pic:blipFill>
                  <pic:spPr bwMode="auto">
                    <a:xfrm>
                      <a:off x="0" y="0"/>
                      <a:ext cx="906780" cy="90678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BodyText2"/>
        <w:rPr/>
      </w:pPr>
      <w:r>
        <w:rPr/>
        <w:t>North American Electric Reliability Council</w:t>
      </w:r>
    </w:p>
    <w:p>
      <w:pPr>
        <w:pStyle w:val="Heading2"/>
        <w:spacing w:before="40" w:after="0"/>
        <w:ind w:hanging="0" w:start="0"/>
        <w:rPr>
          <w:b w:val="false"/>
          <w:spacing w:val="20"/>
        </w:rPr>
      </w:pPr>
      <w:r>
        <w:rPr>
          <w:b w:val="false"/>
          <w:spacing w:val="20"/>
        </w:rPr>
        <w:t>Princeton Forrestal Village, 116-390 Village Boulevard, Princeton, New Jersey 08540-5731</w:t>
      </w:r>
    </w:p>
    <w:p>
      <w:pPr>
        <w:pStyle w:val="Normal"/>
        <w:rPr>
          <w:rFonts w:ascii="Times New Roman" w:hAnsi="Times New Roman" w:cs="Times New Roman"/>
          <w:b/>
          <w:spacing w:val="20"/>
        </w:rPr>
      </w:pPr>
      <w:r>
        <w:rPr>
          <w:rFonts w:cs="Times New Roman" w:ascii="Times New Roman" w:hAnsi="Times New Roman"/>
          <w:b/>
          <w:spacing w:val="20"/>
        </w:rPr>
      </w:r>
    </w:p>
    <w:p>
      <w:pPr>
        <w:pStyle w:val="BodyText"/>
        <w:rPr>
          <w:rFonts w:ascii="Times New Roman" w:hAnsi="Times New Roman" w:cs="Times New Roman"/>
          <w:sz w:val="44"/>
        </w:rPr>
      </w:pPr>
      <w:r>
        <w:rPr>
          <w:rFonts w:cs="Times New Roman" w:ascii="Times New Roman" w:hAnsi="Times New Roman"/>
          <w:sz w:val="44"/>
        </w:rPr>
      </w:r>
    </w:p>
    <w:p>
      <w:pPr>
        <w:pStyle w:val="BodyText"/>
        <w:rPr>
          <w:sz w:val="44"/>
        </w:rPr>
      </w:pPr>
      <w:r>
        <w:rPr>
          <w:sz w:val="44"/>
        </w:rPr>
      </w:r>
    </w:p>
    <w:p>
      <w:pPr>
        <w:pStyle w:val="BodyText"/>
        <w:rPr>
          <w:sz w:val="44"/>
        </w:rPr>
      </w:pPr>
      <w:r>
        <w:rPr>
          <w:sz w:val="44"/>
        </w:rPr>
      </w:r>
    </w:p>
    <w:p>
      <w:pPr>
        <w:pStyle w:val="BodyText"/>
        <w:rPr>
          <w:sz w:val="44"/>
        </w:rPr>
      </w:pPr>
      <w:r>
        <w:rPr>
          <w:sz w:val="44"/>
        </w:rPr>
        <w:t>Market Interface and Commercial Practices in the Wholesale Electric Industry</w:t>
      </w:r>
    </w:p>
    <w:p>
      <w:pPr>
        <w:pStyle w:val="BodyText"/>
        <w:rPr>
          <w:sz w:val="36"/>
        </w:rPr>
      </w:pPr>
      <w:r>
        <w:rPr>
          <w:sz w:val="36"/>
        </w:rPr>
      </w:r>
    </w:p>
    <w:p>
      <w:pPr>
        <w:pStyle w:val="BodyText"/>
        <w:rPr>
          <w:i/>
          <w:i/>
          <w:sz w:val="44"/>
        </w:rPr>
      </w:pPr>
      <w:r>
        <w:rPr>
          <w:i/>
          <w:sz w:val="44"/>
        </w:rPr>
        <w:t>Choosing a Course of Action</w:t>
      </w:r>
    </w:p>
    <w:p>
      <w:pPr>
        <w:pStyle w:val="BodyText"/>
        <w:rPr>
          <w:i/>
          <w:i/>
          <w:sz w:val="36"/>
        </w:rPr>
      </w:pPr>
      <w:r>
        <w:rPr>
          <w:i/>
          <w:sz w:val="36"/>
        </w:rPr>
      </w:r>
    </w:p>
    <w:p>
      <w:pPr>
        <w:pStyle w:val="BodyText"/>
        <w:rPr>
          <w:sz w:val="36"/>
        </w:rPr>
      </w:pPr>
      <w:r>
        <w:rPr>
          <w:sz w:val="36"/>
        </w:rPr>
      </w:r>
    </w:p>
    <w:p>
      <w:pPr>
        <w:pStyle w:val="BodyText"/>
        <w:rPr>
          <w:sz w:val="36"/>
        </w:rPr>
      </w:pPr>
      <w:r>
        <w:rPr>
          <w:sz w:val="36"/>
        </w:rPr>
        <w:t>A White Paper</w:t>
      </w:r>
    </w:p>
    <w:p>
      <w:pPr>
        <w:pStyle w:val="BodyText"/>
        <w:rPr>
          <w:sz w:val="36"/>
        </w:rPr>
      </w:pPr>
      <w:r>
        <w:rPr>
          <w:sz w:val="36"/>
        </w:rPr>
        <w:t>Draft 0.1</w:t>
      </w:r>
    </w:p>
    <w:p>
      <w:pPr>
        <w:pStyle w:val="BodyText"/>
        <w:rPr>
          <w:sz w:val="36"/>
        </w:rPr>
      </w:pPr>
      <w:r>
        <w:rPr>
          <w:sz w:val="36"/>
        </w:rPr>
        <w:t>June 28, 2001</w:t>
      </w:r>
    </w:p>
    <w:p>
      <w:pPr>
        <w:pStyle w:val="BodyText"/>
        <w:rPr>
          <w:sz w:val="36"/>
        </w:rPr>
      </w:pPr>
      <w:r>
        <w:rPr>
          <w:sz w:val="36"/>
        </w:rPr>
      </w:r>
    </w:p>
    <w:p>
      <w:pPr>
        <w:pStyle w:val="BodyText"/>
        <w:rPr>
          <w:sz w:val="36"/>
        </w:rPr>
      </w:pPr>
      <w:r>
        <w:rPr>
          <w:sz w:val="36"/>
        </w:rPr>
        <w:t>Prepared by the</w:t>
      </w:r>
    </w:p>
    <w:p>
      <w:pPr>
        <w:pStyle w:val="BodyText"/>
        <w:rPr>
          <w:sz w:val="36"/>
        </w:rPr>
      </w:pPr>
      <w:r>
        <w:rPr>
          <w:sz w:val="36"/>
        </w:rPr>
        <w:t>Market Interface Practices Subcommittee</w:t>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BodyText"/>
        <w:rPr>
          <w:sz w:val="36"/>
        </w:rPr>
      </w:pPr>
      <w:r>
        <w:rPr>
          <w:sz w:val="36"/>
        </w:rPr>
      </w:r>
    </w:p>
    <w:p>
      <w:pPr>
        <w:pStyle w:val="BodyText"/>
        <w:rPr/>
      </w:pPr>
      <w:r>
        <w:rPr/>
        <w:t>What are Uniform Market Interface and Commercial Practices?</w:t>
      </w:r>
    </w:p>
    <w:p>
      <w:pPr>
        <w:pStyle w:val="BodyText"/>
        <w:rPr>
          <w:b w:val="false"/>
        </w:rPr>
      </w:pPr>
      <w:r>
        <w:rPr>
          <w:b w:val="false"/>
        </w:rPr>
      </w:r>
    </w:p>
    <w:p>
      <w:pPr>
        <w:pStyle w:val="BodyText"/>
        <w:rPr>
          <w:b w:val="false"/>
        </w:rPr>
      </w:pPr>
      <w:r>
        <w:rPr>
          <w:b w:val="false"/>
        </w:rPr>
        <w:t>To enable an informed discussion, the Market Interface Practices Subcommittee (MIPS) proposes definitions for several terms.  Some of these terms are new and some are borrowed from others.</w:t>
      </w:r>
    </w:p>
    <w:p>
      <w:pPr>
        <w:pStyle w:val="BodyText"/>
        <w:rPr>
          <w:b w:val="false"/>
        </w:rPr>
      </w:pPr>
      <w:r>
        <w:rPr>
          <w:b w:val="false"/>
        </w:rPr>
      </w:r>
    </w:p>
    <w:p>
      <w:pPr>
        <w:pStyle w:val="Normal"/>
        <w:rPr/>
      </w:pPr>
      <w:r>
        <w:rPr/>
        <w:t xml:space="preserve">First, as excerpted from the proposed NERC Organization Standards Process Manual, “an </w:t>
      </w:r>
      <w:r>
        <w:rPr>
          <w:b/>
        </w:rPr>
        <w:t>Organization Standard</w:t>
      </w:r>
      <w:r>
        <w:rPr/>
        <w:t xml:space="preserve"> defines certain obligations or requirements of entities that operate, plan, and use the bulk electric systems of North America.  The obligations or requirements must be material to reliability and measurable.  Each obligation and requirement shall support one or more of the stated Reliability Principles and shall be consistent with all of the stated Reliability and Market Interface Principles”.</w:t>
      </w:r>
    </w:p>
    <w:p>
      <w:pPr>
        <w:pStyle w:val="Normal"/>
        <w:rPr/>
      </w:pPr>
      <w:r>
        <w:rPr/>
      </w:r>
    </w:p>
    <w:p>
      <w:pPr>
        <w:pStyle w:val="Normal"/>
        <w:rPr/>
      </w:pPr>
      <w:r>
        <w:rPr/>
        <w:t>NERC Organization Standards will be focused on the reliability of the bulk electric systems of North America and will be mandatory.  NERC’s reliability policies and standards today and historically have addressed reliability issues and been voluntary, although a recent transition process has introduced mandatory obligations for some standards through contract-based compliance.  The ten Regional Councils that make up NERC also develop regional reliability standards and are establishing compliance enforcement programs.  It may be argued, therefore, that the wholesale electric industry has an established forum for the development of consensus-based reliability standards.  This forum is adapting to address compliance enforcement and to strengthen the consensus basis for reliability standards through improvements in representation and due process.</w:t>
      </w:r>
    </w:p>
    <w:p>
      <w:pPr>
        <w:pStyle w:val="Normal"/>
        <w:rPr/>
      </w:pPr>
      <w:r>
        <w:rPr/>
      </w:r>
    </w:p>
    <w:p>
      <w:pPr>
        <w:pStyle w:val="Normal"/>
        <w:rPr/>
      </w:pPr>
      <w:r>
        <w:rPr/>
        <w:t>In the wholesale electric industry there is a plethora of additional conventions defined as obligations, requirements, and customs.  These conventions address various aspects of electric system operations, market functions, and commerce.  The conventions are documented in many forms, including federal and state regulations and orders; NERC policies and references; regional policies and references; ISO, RTO, and transmission provider tariffs and protocols; contracts; written procedures; and computer system interfaces – just to mention a few.  There are also ad hoc groups that define conventions, such as the OASIS Standards Collaborative and the Electronic Scheduling Collaborative.  A striking aspect of these industry conventions is the sheer number of organizations that develop them, conservatively numbering in the hundreds.  There is no organization generally recognized as the national or North American consensus body for the development of these conventions, except perhaps to the limited extent that one could accept that FERC and NERC partially fill such roles and RTOs do so more extensively but on a regional basis.</w:t>
      </w:r>
    </w:p>
    <w:p>
      <w:pPr>
        <w:pStyle w:val="Normal"/>
        <w:rPr/>
      </w:pPr>
      <w:r>
        <w:rPr/>
      </w:r>
    </w:p>
    <w:p>
      <w:pPr>
        <w:pStyle w:val="Normal"/>
        <w:rPr/>
      </w:pPr>
      <w:r>
        <w:rPr/>
        <w:t>To enable a common understanding of terms for the purpose of discussion, the MIPS proposes the definition of two new terms and recognizes that additional terms may become necessary in the continuing debate.  The first two terms are:</w:t>
      </w:r>
    </w:p>
    <w:p>
      <w:pPr>
        <w:pStyle w:val="Normal"/>
        <w:rPr/>
      </w:pPr>
      <w:r>
        <w:rPr/>
      </w:r>
    </w:p>
    <w:p>
      <w:pPr>
        <w:pStyle w:val="Normal"/>
        <w:numPr>
          <w:ilvl w:val="0"/>
          <w:numId w:val="4"/>
        </w:numPr>
        <w:rPr/>
      </w:pPr>
      <w:r>
        <w:rPr>
          <w:b/>
        </w:rPr>
        <w:t>Market Interface Practice</w:t>
      </w:r>
      <w:r>
        <w:rPr/>
        <w:t xml:space="preserve"> – A convention of behavior that is necessary for the implementation of a NERC Organization Standard or satisfies a purpose consistent with the NERC Reliability and Market Interface Principles.</w:t>
      </w:r>
    </w:p>
    <w:p>
      <w:pPr>
        <w:pStyle w:val="Header"/>
        <w:tabs>
          <w:tab w:val="clear" w:pos="4320"/>
          <w:tab w:val="clear" w:pos="8640"/>
        </w:tabs>
        <w:rPr/>
      </w:pPr>
      <w:r>
        <w:rPr/>
      </w:r>
    </w:p>
    <w:p>
      <w:pPr>
        <w:pStyle w:val="Normal"/>
        <w:numPr>
          <w:ilvl w:val="0"/>
          <w:numId w:val="4"/>
        </w:numPr>
        <w:rPr/>
      </w:pPr>
      <w:r>
        <w:rPr>
          <w:b/>
        </w:rPr>
        <w:t>Commercial Practice</w:t>
      </w:r>
      <w:r>
        <w:rPr/>
        <w:t xml:space="preserve"> – A convention of behavior that is not directly related to the implementation of a NERC Organization Standard and is not necessary to satisfy a purpose directly related to NERC Reliability and Market Interface Principles.</w:t>
      </w:r>
    </w:p>
    <w:p>
      <w:pPr>
        <w:pStyle w:val="BodyText"/>
        <w:rPr>
          <w:b w:val="false"/>
        </w:rPr>
      </w:pPr>
      <w:r>
        <w:rPr>
          <w:b w:val="false"/>
        </w:rPr>
      </w:r>
    </w:p>
    <w:p>
      <w:pPr>
        <w:pStyle w:val="BodyText"/>
        <w:rPr>
          <w:b w:val="false"/>
        </w:rPr>
      </w:pPr>
      <w:r>
        <w:rPr>
          <w:b w:val="false"/>
        </w:rPr>
        <w:t>The MIPS believes the term “business practice” is too general and confuses the distinction between practices that may address reliability and operational issues versus those that are more commercial in nature.  The MIPS recognizes that electric system operations and reliability, market functions, and commercial terms are inextricably linked.  All conventions can be viewed as existing somewhere along a spectrum with purely reliability issues on one end to purely commercial issues on the other, although in reality no issue is likely to exist at either extreme.</w:t>
      </w:r>
    </w:p>
    <w:p>
      <w:pPr>
        <w:pStyle w:val="BodyText"/>
        <w:rPr>
          <w:b w:val="false"/>
        </w:rPr>
      </w:pPr>
      <w:r>
        <w:rPr>
          <w:b w:val="false"/>
        </w:rPr>
      </w:r>
    </w:p>
    <w:p>
      <w:pPr>
        <w:pStyle w:val="BodyText"/>
        <w:rPr>
          <w:b w:val="false"/>
        </w:rPr>
      </w:pPr>
      <w:r>
        <w:rPr>
          <w:b w:val="false"/>
        </w:rPr>
        <w:t>The term Market Interface Practice is intended to address those conventions that have one or more significant elements related to both reliability and to commerce.  Typically Market Interface Practices deal with electric system operations that affect markets and market operations that affect reliability.  Examples include scheduling of resources such as transmission, energy, and capacity reserves; acquisition and management of transmission rights such as transmission reservations; the provision of ancillary services; and transmission system congestion management.  Market Interface Practices tend to address the physical provision or delivery of capacity, energy, and energy-related services.</w:t>
      </w:r>
    </w:p>
    <w:p>
      <w:pPr>
        <w:pStyle w:val="BodyText"/>
        <w:rPr>
          <w:b w:val="false"/>
        </w:rPr>
      </w:pPr>
      <w:r>
        <w:rPr>
          <w:b w:val="false"/>
        </w:rPr>
      </w:r>
    </w:p>
    <w:p>
      <w:pPr>
        <w:pStyle w:val="BodyText"/>
        <w:rPr>
          <w:b w:val="false"/>
        </w:rPr>
      </w:pPr>
      <w:r>
        <w:rPr>
          <w:b w:val="false"/>
        </w:rPr>
        <w:t>Commercial Practices, on the other hand, can be viewed as having elements that are mostly focused on fiscal issues, such as financial trading of capacity, energy, energy-related services, and associated risk management derivatives; credit-worthiness; and liabilities.</w:t>
      </w:r>
    </w:p>
    <w:p>
      <w:pPr>
        <w:pStyle w:val="BodyText"/>
        <w:rPr>
          <w:b w:val="false"/>
        </w:rPr>
      </w:pPr>
      <w:r>
        <w:rPr>
          <w:b w:val="false"/>
        </w:rPr>
      </w:r>
    </w:p>
    <w:p>
      <w:pPr>
        <w:pStyle w:val="Normal"/>
        <w:rPr>
          <w:b/>
        </w:rPr>
      </w:pPr>
      <w:r>
        <w:rPr>
          <w:b/>
        </w:rPr>
        <w:t>What is the Basis for Assessing the Need for Uniformity of Practices?</w:t>
      </w:r>
    </w:p>
    <w:p>
      <w:pPr>
        <w:pStyle w:val="Normal"/>
        <w:rPr>
          <w:b/>
        </w:rPr>
      </w:pPr>
      <w:r>
        <w:rPr>
          <w:b/>
        </w:rPr>
      </w:r>
    </w:p>
    <w:p>
      <w:pPr>
        <w:pStyle w:val="Normal"/>
        <w:rPr/>
      </w:pPr>
      <w:r>
        <w:rPr/>
        <w:t>The MIPS proposes that the criteria for making a judgment on the need for uniform practices must be understood.  The MIPS offers the following criteria, which the subcommittee first developed to guide the Electronic Scheduling Collaborative in the development of uniform scheduling practices:</w:t>
      </w:r>
    </w:p>
    <w:p>
      <w:pPr>
        <w:pStyle w:val="Normal"/>
        <w:rPr/>
      </w:pPr>
      <w:r>
        <w:rPr/>
      </w:r>
    </w:p>
    <w:p>
      <w:pPr>
        <w:pStyle w:val="Normal"/>
        <w:numPr>
          <w:ilvl w:val="0"/>
          <w:numId w:val="5"/>
        </w:numPr>
        <w:spacing w:before="0" w:after="240"/>
        <w:rPr/>
      </w:pPr>
      <w:r>
        <w:rPr>
          <w:b/>
        </w:rPr>
        <w:t xml:space="preserve">Reliability </w:t>
      </w:r>
      <w:r>
        <w:rPr/>
        <w:t>– Are consensus Market Interface or Commercial Practices necessary for the reliability of North American bulk electric supply or delivery systems?  Without such practices, North American bulk electric system reliability could be adversely affected.</w:t>
      </w:r>
    </w:p>
    <w:p>
      <w:pPr>
        <w:pStyle w:val="Normal"/>
        <w:numPr>
          <w:ilvl w:val="0"/>
          <w:numId w:val="5"/>
        </w:numPr>
        <w:spacing w:before="0" w:after="240"/>
        <w:rPr/>
      </w:pPr>
      <w:r>
        <w:rPr>
          <w:b/>
        </w:rPr>
        <w:t>Transmission Access</w:t>
      </w:r>
      <w:r>
        <w:rPr/>
        <w:t xml:space="preserve"> – Are consensus Market Interface or Commercial Practices necessary to enable open and comparable access to interregional or inter-system transmission uses, such as the interchange of energy, capacity, and energy-related services?  Without such practices, market participants could encounter undue or unfair impediments to uses of the interconnected transmission grid.</w:t>
      </w:r>
    </w:p>
    <w:p>
      <w:pPr>
        <w:pStyle w:val="Normal"/>
        <w:numPr>
          <w:ilvl w:val="0"/>
          <w:numId w:val="5"/>
        </w:numPr>
        <w:spacing w:before="0" w:after="240"/>
        <w:rPr/>
      </w:pPr>
      <w:r>
        <w:rPr>
          <w:b/>
        </w:rPr>
        <w:t>Market Efficiency</w:t>
      </w:r>
      <w:r>
        <w:rPr/>
        <w:t xml:space="preserve"> – Are consensus Market Interface or Commercial Practices necessary to achieve efficient and liquid electricity markets?  Without such practices, resources would likely be used less efficiently.</w:t>
      </w:r>
    </w:p>
    <w:p>
      <w:pPr>
        <w:pStyle w:val="Normal"/>
        <w:numPr>
          <w:ilvl w:val="0"/>
          <w:numId w:val="5"/>
        </w:numPr>
        <w:spacing w:before="0" w:after="240"/>
        <w:rPr/>
      </w:pPr>
      <w:r>
        <w:rPr>
          <w:b/>
        </w:rPr>
        <w:t>Process Efficiency</w:t>
      </w:r>
      <w:r>
        <w:rPr/>
        <w:t xml:space="preserve"> – Are consensus Market Interface or Commercial Practices necessary to achieve efficient processes?  Without such practices, market participants could encounter redundant and uncoordinated processes that unnecessarily increase the burden of conducting business.</w:t>
      </w:r>
    </w:p>
    <w:p>
      <w:pPr>
        <w:pStyle w:val="Normal"/>
        <w:rPr/>
      </w:pPr>
      <w:r>
        <w:rPr/>
        <w:t>Secondly, it must be understood that uniformity of practices does not come without cost.  There are inherent benefits in allowing flexibility and innovation.  An undue emphasis on uniformity could lead to least-common-denominator solutions and stifle advances in technology, methods, and creative ideas.  There are also benefits in allowing flexibility in addressing issues regionally and locally.  Imagine the impact on food supply if all farmers in North America were required to plant beans on the same date – in the electric industry, as well as farming, local requirements and conditions have a significant impact on what is best.  The point is that the four criteria above, reliability, transmission access, and market and process efficiencies are not one-dimensional measures of the need for uniform practices.  One cannot assume that simply having more of a good thing is better.  The benefits must be traded off against other factors such as loss of flexibility, innovation, and adaptability.</w:t>
      </w:r>
    </w:p>
    <w:p>
      <w:pPr>
        <w:pStyle w:val="Normal"/>
        <w:rPr/>
      </w:pPr>
      <w:r>
        <w:rPr/>
      </w:r>
    </w:p>
    <w:p>
      <w:pPr>
        <w:pStyle w:val="Normal"/>
        <w:rPr/>
      </w:pPr>
      <w:r>
        <w:rPr/>
        <w:t>Thirdly, one must understand the impact of scale when evaluating the need for uniformity of practices.  The MIPS introduces a concept of a “sphere of significant interactions” to make the point that uniformity of practices can be most directly beneficial to the extent that users of those practices rely on them to interact with others.  Thus, a generator or load that interacts with a single transmission provider would likely be satisfied with a clear and reasonable set of rules from that provider.  A generator, load or power marketer that deals only in one regional market will likely be satisfied with a good set of rules for that regional market.  This concept obviously extends to organizations that conduct business between regions, across entire interconnections, or across North America.  The “sphere of significant interactions” can be widened in some aspects if one considers communal benefits, such as everyone benefiting from a reliable electric grid.</w:t>
      </w:r>
    </w:p>
    <w:p>
      <w:pPr>
        <w:pStyle w:val="Normal"/>
        <w:rPr/>
      </w:pPr>
      <w:r>
        <w:rPr/>
      </w:r>
    </w:p>
    <w:p>
      <w:pPr>
        <w:pStyle w:val="Normal"/>
        <w:rPr/>
      </w:pPr>
      <w:r>
        <w:rPr/>
        <w:t>Using the concepts outlined above, a framework is established for weighing the need for uniform practices, both in the broad sense of a general industry discussion and in the narrow sense of evaluating individual practices.</w:t>
      </w:r>
    </w:p>
    <w:p>
      <w:pPr>
        <w:pStyle w:val="Normal"/>
        <w:rPr/>
      </w:pPr>
      <w:r>
        <w:rPr/>
      </w:r>
    </w:p>
    <w:p>
      <w:pPr>
        <w:pStyle w:val="Normal"/>
        <w:rPr>
          <w:b/>
        </w:rPr>
      </w:pPr>
      <w:r>
        <w:rPr>
          <w:b/>
        </w:rPr>
        <w:t>Where is the Industry Today with Regard to Defining Practices?</w:t>
      </w:r>
    </w:p>
    <w:p>
      <w:pPr>
        <w:pStyle w:val="Normal"/>
        <w:rPr>
          <w:b/>
        </w:rPr>
      </w:pPr>
      <w:r>
        <w:rPr>
          <w:b/>
        </w:rPr>
      </w:r>
    </w:p>
    <w:p>
      <w:pPr>
        <w:pStyle w:val="Normal"/>
        <w:rPr/>
      </w:pPr>
      <w:r>
        <w:rPr/>
        <w:t>The state of Market Interface and Commercial practices in the wholesale electric industry can be described as a shifting equilibrium resulting from the confluence of thousands of unrelated decisions made, rather than the result of a reasoned policy.  The current equilibrium point has a patchwork of Market Interface and Commercial Practices developed by the hundreds of authorities, as described previously in this paper.</w:t>
      </w:r>
    </w:p>
    <w:p>
      <w:pPr>
        <w:pStyle w:val="Normal"/>
        <w:rPr/>
      </w:pPr>
      <w:r>
        <w:rPr/>
      </w:r>
    </w:p>
    <w:p>
      <w:pPr>
        <w:pStyle w:val="Normal"/>
        <w:rPr/>
      </w:pPr>
      <w:r>
        <w:rPr/>
        <w:t>The Commercial Practices Working Group, an independent industry group that was the predecessor to the NERC Market Interface Committee, in 1997 identified its concern for the patchwork of practices that was developing and requested that FERC clarify its policy on the balance between regional and national standards</w:t>
      </w:r>
      <w:r>
        <w:rPr>
          <w:rStyle w:val="FootnoteCharacters"/>
          <w:rStyle w:val="FootnoteReference"/>
        </w:rPr>
        <w:footnoteReference w:id="2"/>
      </w:r>
      <w:r>
        <w:rPr/>
        <w:t>.  Although the Commission has intermittently indicated a preference for standards based on national consensus, as noted in its OASIS orders, the reality over recent years is that the Commission has leaned more heavily toward approving transmission provider and regional tariffs that have very differing practices, without considering a balance of the benefits and costs of uniformity.</w:t>
      </w:r>
    </w:p>
    <w:p>
      <w:pPr>
        <w:pStyle w:val="Normal"/>
        <w:rPr/>
      </w:pPr>
      <w:r>
        <w:rPr/>
      </w:r>
    </w:p>
    <w:p>
      <w:pPr>
        <w:pStyle w:val="Normal"/>
        <w:rPr/>
      </w:pPr>
      <w:r>
        <w:rPr/>
        <w:t>More recently, FERC has focused on achieving functional RTOs, as defined in its Order No. 2000 and related rulings.  The process of forming RTOs has had a substantial impact on the development of industry practices.  For one, each of the forming RTOs is developing business models, protocols, and infrastructure for a gamut of functions from reliability processes to market operations to connection requirements.  Implementation of Order 2000 has strongly shifted the equilibrium point of the industry toward regional practices, thus garnering many of the potential benefits of uniformity of practices at the regional level.  Recognizing that regional practices that are not coordinated could have adverse impacts in areas such as those identified in this paper (reliability, transmission access, and market and process efficiency), the FERC included “Function 8” in Order 2000, the function of coordinating seams between RTOs.</w:t>
      </w:r>
    </w:p>
    <w:p>
      <w:pPr>
        <w:pStyle w:val="Normal"/>
        <w:rPr>
          <w:rFonts w:eastAsia="Arial"/>
        </w:rPr>
      </w:pPr>
      <w:r>
        <w:rPr>
          <w:rFonts w:eastAsia="Arial"/>
        </w:rPr>
        <w:t xml:space="preserve"> </w:t>
      </w:r>
    </w:p>
    <w:p>
      <w:pPr>
        <w:pStyle w:val="Normal"/>
        <w:rPr/>
      </w:pPr>
      <w:r>
        <w:rPr/>
        <w:t>The disadvantage of RTO seams coordination is that it was added to Order 2000 as an after thought and its implementation is being addressed similarly.  The first priority for the RTOs has been to focus internally to establish operational systems within a challenging timetable.  Coordination of practices between RTOs has for the most part been ad hoc and focused on a narrow range of issues.  In many cases reconciling differences is difficult, even though the efforts are focused (in the Eastern Interconnection at least) on resolving issues across system boundaries and not the entire Interconnection.</w:t>
      </w:r>
    </w:p>
    <w:p>
      <w:pPr>
        <w:pStyle w:val="Normal"/>
        <w:rPr/>
      </w:pPr>
      <w:r>
        <w:rPr/>
      </w:r>
    </w:p>
    <w:p>
      <w:pPr>
        <w:pStyle w:val="Normal"/>
        <w:rPr/>
      </w:pPr>
      <w:r>
        <w:rPr/>
        <w:t>What is lacking in the rush to develop RTO Market Interface and Commercial Practices is a systematic process to evaluate the potential need for greater consistency of those practices across Interconnections or North America, using such criteria as those previously described in this paper.  The present timetable for implementation of RTOs in fact does not allow for the assessment nor for the development of consensus practices if a need was identified.  Emerging RTOs and their constituents would argue that the present path will be the most effective – allow the RTOs to establish regional protocols now and consolidation of practices will be driven later by market participants as the difficult differences become apparent.</w:t>
      </w:r>
    </w:p>
    <w:p>
      <w:pPr>
        <w:pStyle w:val="Normal"/>
        <w:rPr/>
      </w:pPr>
      <w:r>
        <w:rPr/>
      </w:r>
    </w:p>
    <w:p>
      <w:pPr>
        <w:pStyle w:val="Normal"/>
        <w:rPr/>
      </w:pPr>
      <w:r>
        <w:rPr/>
        <w:t>Issues such as these were topics of a FERC conference on June 19.  The Commission received a wide range of views on these issues and may be considering a policy decision as a result.  Without a change or clarification of policy, the equilibrium point of the industry is likely to remain strongly in favor of promoting RTOs as the most active forums for development of Market Interface and Commercial practices, with a more limited role for a national or North American consensus forum.  It is difficult to project what the Commission is likely to do in response to the inputs it received at the conference.  However, if it does act, it is likely to do so initially in the form of asking the industry how best to solve a problem.</w:t>
      </w:r>
    </w:p>
    <w:p>
      <w:pPr>
        <w:pStyle w:val="Normal"/>
        <w:rPr/>
      </w:pPr>
      <w:r>
        <w:rPr/>
      </w:r>
    </w:p>
    <w:p>
      <w:pPr>
        <w:pStyle w:val="Normal"/>
        <w:rPr/>
      </w:pPr>
      <w:r>
        <w:rPr/>
        <w:t>NERC also needs to be considered a part of the industry’s equilibrium point in the development of practices, particularly Market Interface Practices.  Many of the NERC Operating Policies and Planning Standards contain elements that define Market Interface Practices.  In a recent exercise, the MIPS identified Market Interface Practices in all 9 Operating Policies.  Policies 3 and 9 have an especially significant impact in that they establish the requirements for energy interchange scheduling and congestion management.  There may be some question in the future as to the efficacy of these scheduling and congestion management practices in their current state, as RTO systems are implemented, but the impact today is substantive.  NERC has historically developed these practices on the basis of reliability need without a full and systematic consideration of the transmission access and market and process efficiency impacts, although it is at least partially the role of the Market Interface Committee to consider these issues.</w:t>
      </w:r>
    </w:p>
    <w:p>
      <w:pPr>
        <w:pStyle w:val="Normal"/>
        <w:rPr/>
      </w:pPr>
      <w:r>
        <w:rPr/>
      </w:r>
    </w:p>
    <w:p>
      <w:pPr>
        <w:pStyle w:val="Normal"/>
        <w:rPr/>
      </w:pPr>
      <w:r>
        <w:rPr/>
        <w:t>As NERC makes a transition from its Operating Policies and Planning Standards to an integrated set of Organization Standards that focus on core reliability issues, NERC is faced with the question what to do with the not so insignificant content of its current policies addressing Market Interface Practices.  Some argue that NERC’s mission should remain focused on reliability and that a formal recognition of NERC as including a forum for the development of Market Interface Practices would be an undesired expansion of scope.  Others claim that reliability and Market Interface Practices by definition are inseparable (Market Interface Practices are defined as containing reliability elements).</w:t>
      </w:r>
    </w:p>
    <w:p>
      <w:pPr>
        <w:pStyle w:val="Normal"/>
        <w:rPr/>
      </w:pPr>
      <w:r>
        <w:rPr/>
      </w:r>
    </w:p>
    <w:p>
      <w:pPr>
        <w:pStyle w:val="Normal"/>
        <w:rPr/>
      </w:pPr>
      <w:r>
        <w:rPr/>
        <w:t>NERC has taken on additional assignments, as requested by FERC or in some cases with a general sense by consent of the industry.  Examples include facilitation of the OASIS What and How Working Groups and the Electronic Scheduling Collaborative.  Roles like these have been requested of NERC because there generally is not another organization that provides a consensus forum for resolution of issues related to North American bulk electric systems.</w:t>
      </w:r>
    </w:p>
    <w:p>
      <w:pPr>
        <w:pStyle w:val="Normal"/>
        <w:rPr/>
      </w:pPr>
      <w:r>
        <w:rPr/>
      </w:r>
    </w:p>
    <w:p>
      <w:pPr>
        <w:pStyle w:val="Normal"/>
        <w:rPr/>
      </w:pPr>
      <w:r>
        <w:rPr/>
        <w:t>NERC faces some difficult decisions as it transitions to the development of Organization Standards and considers options for the development of Market Interface Practices.  Without the strong consent of the industry, NERC would not be predisposed to aggressively seek an expanded role in the development of Market Interface Practices.  And that strong consent would not likely materialize without a strong push from regulators.</w:t>
      </w:r>
    </w:p>
    <w:p>
      <w:pPr>
        <w:pStyle w:val="Normal"/>
        <w:rPr/>
      </w:pPr>
      <w:r>
        <w:rPr/>
      </w:r>
    </w:p>
    <w:p>
      <w:pPr>
        <w:pStyle w:val="Normal"/>
        <w:rPr/>
      </w:pPr>
      <w:r>
        <w:rPr/>
        <w:t>Lacking a significant push, the industry is likely to remain in its current trajectory with a patchwork of forums for the development of Market Interface and Commercial Practices.  The forums will include NERC developing some Market Interface Practices to address reliability issues.  RTOs will develop a more robust set of Market Interface and Commercial Practices to address operations, planning, and commerce.  Transmission providers may continue to individually develop requirements.  And of course, FERC policy and standards will continue to evolve.</w:t>
      </w:r>
    </w:p>
    <w:p>
      <w:pPr>
        <w:pStyle w:val="Normal"/>
        <w:rPr/>
      </w:pPr>
      <w:r>
        <w:rPr/>
      </w:r>
    </w:p>
    <w:p>
      <w:pPr>
        <w:pStyle w:val="BodyText"/>
        <w:rPr/>
      </w:pPr>
      <w:r>
        <w:rPr/>
        <w:t>Does the Industry Need a Forum for the Development of Consensus Practices?</w:t>
      </w:r>
    </w:p>
    <w:p>
      <w:pPr>
        <w:pStyle w:val="Normal"/>
        <w:rPr/>
      </w:pPr>
      <w:r>
        <w:rPr/>
      </w:r>
    </w:p>
    <w:p>
      <w:pPr>
        <w:pStyle w:val="Normal"/>
        <w:rPr/>
      </w:pPr>
      <w:r>
        <w:rPr/>
        <w:t>The MIPS believes there is an urgent need for the industry to identify a forum for the development of consensus-based Market Interface and Commercial Practices.  As will be explained later in the discussion of alternatives, this forum may be new or within existing organizations and may actually consist of multiple forums.</w:t>
      </w:r>
    </w:p>
    <w:p>
      <w:pPr>
        <w:pStyle w:val="Normal"/>
        <w:rPr/>
      </w:pPr>
      <w:r>
        <w:rPr/>
      </w:r>
    </w:p>
    <w:p>
      <w:pPr>
        <w:pStyle w:val="Normal"/>
        <w:rPr/>
      </w:pPr>
      <w:r>
        <w:rPr/>
        <w:t>Explain reasons.</w:t>
      </w:r>
    </w:p>
    <w:p>
      <w:pPr>
        <w:pStyle w:val="Normal"/>
        <w:rPr/>
      </w:pPr>
      <w:r>
        <w:rPr/>
      </w:r>
    </w:p>
    <w:p>
      <w:pPr>
        <w:pStyle w:val="Normal"/>
        <w:rPr>
          <w:b/>
        </w:rPr>
      </w:pPr>
      <w:r>
        <w:rPr>
          <w:b/>
        </w:rPr>
        <w:t>What Are the Alternatives for Development of Consensus Practices?</w:t>
      </w:r>
    </w:p>
    <w:p>
      <w:pPr>
        <w:pStyle w:val="Normal"/>
        <w:rPr>
          <w:b/>
        </w:rPr>
      </w:pPr>
      <w:r>
        <w:rPr>
          <w:b/>
        </w:rPr>
      </w:r>
    </w:p>
    <w:p>
      <w:pPr>
        <w:pStyle w:val="Normal"/>
        <w:rPr/>
      </w:pPr>
      <w:r>
        <w:rPr/>
        <w:t>Explain the five alternatives discussed by the MIPS on June 8, as appended by the paper drafted by the small task group after the meeting.</w:t>
      </w:r>
    </w:p>
    <w:p>
      <w:pPr>
        <w:pStyle w:val="Normal"/>
        <w:rPr/>
      </w:pPr>
      <w:r>
        <w:rPr/>
      </w:r>
    </w:p>
    <w:p>
      <w:pPr>
        <w:pStyle w:val="BodyText"/>
        <w:rPr/>
      </w:pPr>
      <w:r>
        <w:rPr/>
        <w:t>What Are the Differences between the EISB Process and the NERC Organization Standards Process?</w:t>
      </w:r>
    </w:p>
    <w:p>
      <w:pPr>
        <w:pStyle w:val="Normal"/>
        <w:rPr/>
      </w:pPr>
      <w:r>
        <w:rPr/>
      </w:r>
    </w:p>
    <w:p>
      <w:pPr>
        <w:pStyle w:val="Normal"/>
        <w:rPr/>
      </w:pPr>
      <w:r>
        <w:rPr/>
        <w:t>Explain the differences as noted in Gary Jackson’s presentation in the MIC package.</w:t>
      </w:r>
    </w:p>
    <w:p>
      <w:pPr>
        <w:pStyle w:val="Normal"/>
        <w:rPr/>
      </w:pPr>
      <w:r>
        <w:rPr/>
      </w:r>
    </w:p>
    <w:p>
      <w:pPr>
        <w:pStyle w:val="Normal"/>
        <w:rPr>
          <w:b/>
        </w:rPr>
      </w:pPr>
      <w:r>
        <w:rPr>
          <w:b/>
        </w:rPr>
        <w:t>What is the Scope of Market Interface Practices?</w:t>
      </w:r>
    </w:p>
    <w:p>
      <w:pPr>
        <w:pStyle w:val="Normal"/>
        <w:rPr>
          <w:b/>
        </w:rPr>
      </w:pPr>
      <w:r>
        <w:rPr>
          <w:b/>
        </w:rPr>
      </w:r>
    </w:p>
    <w:p>
      <w:pPr>
        <w:pStyle w:val="Normal"/>
        <w:rPr/>
      </w:pPr>
      <w:r>
        <w:rPr/>
        <w:t>Refer to the Market Interface Practices Outline.</w:t>
      </w:r>
    </w:p>
    <w:p>
      <w:pPr>
        <w:pStyle w:val="Normal"/>
        <w:rPr/>
      </w:pPr>
      <w:r>
        <w:rPr/>
      </w:r>
    </w:p>
    <w:p>
      <w:pPr>
        <w:pStyle w:val="Normal"/>
        <w:rPr/>
      </w:pPr>
      <w:r>
        <w:rPr/>
        <w:t xml:space="preserve">Market Interface Practices may be categorized as </w:t>
      </w:r>
      <w:r>
        <w:rPr>
          <w:i/>
        </w:rPr>
        <w:t>information interfaces</w:t>
      </w:r>
      <w:r>
        <w:rPr/>
        <w:t xml:space="preserve"> or </w:t>
      </w:r>
      <w:r>
        <w:rPr>
          <w:i/>
        </w:rPr>
        <w:t>rules</w:t>
      </w:r>
      <w:r>
        <w:rPr/>
        <w:t>:</w:t>
      </w:r>
    </w:p>
    <w:p>
      <w:pPr>
        <w:pStyle w:val="Normal"/>
        <w:rPr/>
      </w:pPr>
      <w:r>
        <w:rPr/>
      </w:r>
    </w:p>
    <w:p>
      <w:pPr>
        <w:pStyle w:val="Normal"/>
        <w:numPr>
          <w:ilvl w:val="0"/>
          <w:numId w:val="2"/>
        </w:numPr>
        <w:spacing w:before="0" w:after="240"/>
        <w:rPr/>
      </w:pPr>
      <w:r>
        <w:rPr>
          <w:i/>
        </w:rPr>
        <w:t>Information interfaces</w:t>
      </w:r>
      <w:r>
        <w:rPr/>
        <w:t xml:space="preserve"> define what data must be exchanged between parties or between process boundaries.</w:t>
      </w:r>
    </w:p>
    <w:p>
      <w:pPr>
        <w:pStyle w:val="Normal"/>
        <w:numPr>
          <w:ilvl w:val="0"/>
          <w:numId w:val="2"/>
        </w:numPr>
        <w:spacing w:before="0" w:after="240"/>
        <w:rPr/>
      </w:pPr>
      <w:r>
        <w:rPr>
          <w:i/>
        </w:rPr>
        <w:t>Rules</w:t>
      </w:r>
      <w:r>
        <w:rPr/>
        <w:t xml:space="preserve"> define performance actions that must be followed (or should be followed if compliance is voluntary).</w:t>
      </w:r>
    </w:p>
    <w:p>
      <w:pPr>
        <w:pStyle w:val="Normal"/>
        <w:rPr/>
      </w:pPr>
      <w:r>
        <w:rPr/>
        <w:t xml:space="preserve">The advantage of thinking first about informational requirements is that the focus is on results – the information is an end product of a process that is exchanged with other processes so all interrelated jobs can be done.  Focusing on the </w:t>
      </w:r>
      <w:r>
        <w:rPr>
          <w:i/>
        </w:rPr>
        <w:t>information interface</w:t>
      </w:r>
      <w:r>
        <w:rPr/>
        <w:t xml:space="preserve"> first helps to avoid being unnecessarily prescriptive about how the information is developed internally, allowing flexibility and innovation within local or regional processes.</w:t>
      </w:r>
    </w:p>
    <w:p>
      <w:pPr>
        <w:pStyle w:val="Normal"/>
        <w:rPr/>
      </w:pPr>
      <w:r>
        <w:rPr/>
      </w:r>
    </w:p>
    <w:p>
      <w:pPr>
        <w:pStyle w:val="Normal"/>
        <w:rPr/>
      </w:pPr>
      <w:r>
        <w:rPr/>
        <w:t xml:space="preserve">Even when a clear information exchange can be defined, </w:t>
      </w:r>
      <w:r>
        <w:rPr>
          <w:i/>
        </w:rPr>
        <w:t>rules</w:t>
      </w:r>
      <w:r>
        <w:rPr/>
        <w:t xml:space="preserve"> may still be necessary to achieve the purposes described on the previous page.  However, </w:t>
      </w:r>
      <w:r>
        <w:rPr>
          <w:i/>
        </w:rPr>
        <w:t>rules</w:t>
      </w:r>
      <w:r>
        <w:rPr/>
        <w:t xml:space="preserve"> should be developed with caution – excessive dependence on </w:t>
      </w:r>
      <w:r>
        <w:rPr>
          <w:i/>
        </w:rPr>
        <w:t>rules</w:t>
      </w:r>
      <w:r>
        <w:rPr/>
        <w:t xml:space="preserve"> may burden efficiency or innovation.  Rules are most appropriate when it is essential to define not only what performance is required, but also how or when a process is performed.  The OASIS Business Practice Standards in FERC Order No. 638 are examples of </w:t>
      </w:r>
      <w:r>
        <w:rPr>
          <w:i/>
        </w:rPr>
        <w:t>rules</w:t>
      </w:r>
      <w:r>
        <w:rPr/>
        <w:t>.</w:t>
      </w:r>
    </w:p>
    <w:p>
      <w:pPr>
        <w:pStyle w:val="Normal"/>
        <w:rPr/>
      </w:pPr>
      <w:r>
        <w:rPr/>
      </w:r>
    </w:p>
    <w:p>
      <w:pPr>
        <w:pStyle w:val="Normal"/>
        <w:rPr/>
      </w:pPr>
      <w:r>
        <w:rPr/>
        <w:t>Need to provide examples of MI practices and business practices where differences can cause reliability, access, or efficiency problems.</w:t>
      </w:r>
    </w:p>
    <w:p>
      <w:pPr>
        <w:pStyle w:val="Normal"/>
        <w:rPr/>
      </w:pPr>
      <w:r>
        <w:rPr/>
      </w:r>
    </w:p>
    <w:p>
      <w:pPr>
        <w:pStyle w:val="Normal"/>
        <w:rPr>
          <w:b/>
        </w:rPr>
      </w:pPr>
      <w:r>
        <w:rPr>
          <w:b/>
        </w:rPr>
        <w:t>Should Practices be Voluntary or Mandatory?</w:t>
      </w:r>
    </w:p>
    <w:p>
      <w:pPr>
        <w:pStyle w:val="Normal"/>
        <w:rPr>
          <w:b/>
        </w:rPr>
      </w:pPr>
      <w:r>
        <w:rPr>
          <w:b/>
        </w:rPr>
      </w:r>
    </w:p>
    <w:p>
      <w:pPr>
        <w:pStyle w:val="Normal"/>
        <w:rPr/>
      </w:pPr>
      <w:r>
        <w:rPr/>
        <w:t>Explain that both may be appropriate.</w:t>
      </w:r>
    </w:p>
    <w:p>
      <w:pPr>
        <w:pStyle w:val="Normal"/>
        <w:rPr/>
      </w:pPr>
      <w:r>
        <w:rPr/>
      </w:r>
    </w:p>
    <w:p>
      <w:pPr>
        <w:pStyle w:val="Heading3"/>
        <w:ind w:hanging="0" w:start="0"/>
        <w:rPr/>
      </w:pPr>
      <w:r>
        <w:rPr/>
        <w:t>Recommendations</w:t>
      </w:r>
    </w:p>
    <w:p>
      <w:pPr>
        <w:pStyle w:val="Normal"/>
        <w:rPr/>
      </w:pPr>
      <w:r>
        <w:rPr/>
      </w:r>
    </w:p>
    <w:p>
      <w:pPr>
        <w:pStyle w:val="Normal"/>
        <w:numPr>
          <w:ilvl w:val="0"/>
          <w:numId w:val="3"/>
        </w:numPr>
        <w:rPr/>
      </w:pPr>
      <w:r>
        <w:rPr/>
        <w:t>The wholesale electric industry needs a forum and process for the development of consensus Market Interface Practices to achieve the objectives of reliability, open transmission access, and market and process efficiencies.</w:t>
      </w:r>
    </w:p>
    <w:p>
      <w:pPr>
        <w:pStyle w:val="Normal"/>
        <w:rPr/>
      </w:pPr>
      <w:r>
        <w:rPr/>
      </w:r>
    </w:p>
    <w:p>
      <w:pPr>
        <w:pStyle w:val="Normal"/>
        <w:numPr>
          <w:ilvl w:val="0"/>
          <w:numId w:val="3"/>
        </w:numPr>
        <w:rPr/>
      </w:pPr>
      <w:r>
        <w:rPr/>
        <w:t>The wholesale electric industry needs a forum and process for the development of consensus Commercial Practices to achieve the objectives of open transmission access and market and process efficiencies.</w:t>
      </w:r>
    </w:p>
    <w:p>
      <w:pPr>
        <w:pStyle w:val="Normal"/>
        <w:rPr/>
      </w:pPr>
      <w:r>
        <w:rPr/>
      </w:r>
    </w:p>
    <w:p>
      <w:pPr>
        <w:pStyle w:val="Normal"/>
        <w:numPr>
          <w:ilvl w:val="0"/>
          <w:numId w:val="3"/>
        </w:numPr>
        <w:rPr/>
      </w:pPr>
      <w:r>
        <w:rPr/>
        <w:t>RTOs need to be included as integral to the forum and process.</w:t>
      </w:r>
    </w:p>
    <w:p>
      <w:pPr>
        <w:pStyle w:val="Normal"/>
        <w:rPr/>
      </w:pPr>
      <w:r>
        <w:rPr/>
      </w:r>
    </w:p>
    <w:p>
      <w:pPr>
        <w:pStyle w:val="Normal"/>
        <w:numPr>
          <w:ilvl w:val="0"/>
          <w:numId w:val="3"/>
        </w:numPr>
        <w:rPr/>
      </w:pPr>
      <w:r>
        <w:rPr/>
        <w:t>The alternatives for the development of Market Interface and Commercial Practices should be debated and a coordinated recommendation made by industry leaders.</w:t>
      </w:r>
    </w:p>
    <w:p>
      <w:pPr>
        <w:pStyle w:val="Normal"/>
        <w:rPr/>
      </w:pPr>
      <w:r>
        <w:rPr/>
      </w:r>
    </w:p>
    <w:p>
      <w:pPr>
        <w:pStyle w:val="Normal"/>
        <w:numPr>
          <w:ilvl w:val="0"/>
          <w:numId w:val="3"/>
        </w:numPr>
        <w:rPr/>
      </w:pPr>
      <w:r>
        <w:rPr/>
        <w:t>The selected process should be implemented as soon as practical, recognizing that the transition will be evolutionary and not an overnight solution.  It is important to get started but process will take time.  An identified forum and process will serve as a catalyst for change and allow the industry to consolidate practices at a pace for which consensus and need are demonstrated.</w:t>
      </w:r>
    </w:p>
    <w:p>
      <w:pPr>
        <w:pStyle w:val="Normal"/>
        <w:rPr/>
      </w:pPr>
      <w:r>
        <w:rPr/>
      </w:r>
    </w:p>
    <w:p>
      <w:pPr>
        <w:pStyle w:val="Normal"/>
        <w:rPr/>
      </w:pPr>
      <w:r>
        <w:rPr/>
      </w:r>
    </w:p>
    <w:p>
      <w:pPr>
        <w:pStyle w:val="Normal"/>
        <w:rPr/>
      </w:pPr>
      <w:r>
        <w:rPr/>
      </w:r>
    </w:p>
    <w:p>
      <w:pPr>
        <w:pStyle w:val="Normal"/>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18"/>
      </w:rPr>
      <w:t xml:space="preserve">Phone 609-452-8060 </w:t>
    </w:r>
    <w:r>
      <w:rPr>
        <w:rFonts w:eastAsia="Wingdings 2" w:cs="Wingdings 2" w:ascii="Wingdings 2" w:hAnsi="Wingdings 2"/>
        <w:b/>
        <w:sz w:val="18"/>
      </w:rPr>
      <w:sym w:font="Wingdings 2" w:char="f0a1"/>
    </w:r>
    <w:r>
      <w:rPr>
        <w:b/>
        <w:sz w:val="18"/>
      </w:rPr>
      <w:t xml:space="preserve"> Fax 609-452-9550 </w:t>
    </w:r>
    <w:r>
      <w:rPr>
        <w:rFonts w:eastAsia="Wingdings 2" w:cs="Wingdings 2" w:ascii="Wingdings 2" w:hAnsi="Wingdings 2"/>
        <w:b/>
        <w:sz w:val="18"/>
      </w:rPr>
      <w:sym w:font="Wingdings 2" w:char="f0a1"/>
    </w:r>
    <w:r>
      <w:rPr>
        <w:b/>
        <w:sz w:val="18"/>
      </w:rPr>
      <w:t xml:space="preserve"> URL www.nerc.com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Industry Report to the Federal Energy Regulatory Commission on the Future of OASIS”, October 28, 1997, page 21.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sz w:val="22"/>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color w:val="FFFFFF"/>
      <w:sz w:val="28"/>
      <w:lang w:eastAsia="en-US"/>
    </w:rPr>
  </w:style>
  <w:style w:type="paragraph" w:styleId="Heading2">
    <w:name w:val="heading 2"/>
    <w:basedOn w:val="Normal"/>
    <w:next w:val="Normal"/>
    <w:qFormat/>
    <w:pPr>
      <w:keepNext w:val="true"/>
      <w:numPr>
        <w:ilvl w:val="1"/>
        <w:numId w:val="1"/>
      </w:numPr>
      <w:tabs>
        <w:tab w:val="clear" w:pos="720"/>
        <w:tab w:val="left" w:pos="1260" w:leader="none"/>
        <w:tab w:val="left" w:pos="4320" w:leader="none"/>
        <w:tab w:val="left" w:pos="6480" w:leader="none"/>
      </w:tabs>
      <w:jc w:val="center"/>
      <w:outlineLvl w:val="1"/>
    </w:pPr>
    <w:rPr>
      <w:rFonts w:ascii="Times New Roman" w:hAnsi="Times New Roman" w:cs="Times New Roman"/>
      <w:b/>
      <w:sz w:val="17"/>
    </w:rPr>
  </w:style>
  <w:style w:type="paragraph" w:styleId="Heading3">
    <w:name w:val="heading 3"/>
    <w:basedOn w:val="Normal"/>
    <w:next w:val="Normal"/>
    <w:qFormat/>
    <w:pPr>
      <w:keepNext w:val="true"/>
      <w:numPr>
        <w:ilvl w:val="2"/>
        <w:numId w:val="1"/>
      </w:numPr>
      <w:outlineLvl w:val="2"/>
    </w:pPr>
    <w:rPr>
      <w:b/>
    </w:rPr>
  </w:style>
  <w:style w:type="character" w:styleId="WW8Num2z0">
    <w:name w:val="WW8Num2z0"/>
    <w:qFormat/>
    <w:rPr>
      <w:rFonts w:ascii="Symbol" w:hAnsi="Symbol" w:cs="Symbol"/>
      <w:sz w:val="22"/>
    </w:rPr>
  </w:style>
  <w:style w:type="character" w:styleId="WW8Num5z0">
    <w:name w:val="WW8Num5z0"/>
    <w:qFormat/>
    <w:rPr>
      <w:rFonts w:ascii="Symbol" w:hAnsi="Symbol" w:cs="Symbol"/>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CAgendaParagraph">
    <w:name w:val="MIC Agenda Paragraph"/>
    <w:basedOn w:val="Normal"/>
    <w:qFormat/>
    <w:pPr>
      <w:spacing w:before="0" w:after="240"/>
      <w:ind w:hanging="0" w:start="504" w:end="0"/>
    </w:pPr>
    <w:rPr>
      <w:rFonts w:ascii="Times New Roman" w:hAnsi="Times New Roman" w:cs="Times New Roman"/>
      <w:sz w:val="22"/>
    </w:rPr>
  </w:style>
  <w:style w:type="paragraph" w:styleId="BodyText2">
    <w:name w:val="Body Text 2"/>
    <w:basedOn w:val="Normal"/>
    <w:qFormat/>
    <w:pPr>
      <w:pBdr>
        <w:bottom w:val="single" w:sz="6" w:space="1" w:color="000000"/>
      </w:pBdr>
      <w:tabs>
        <w:tab w:val="clear" w:pos="720"/>
        <w:tab w:val="left" w:pos="1260" w:leader="none"/>
        <w:tab w:val="left" w:pos="4320" w:leader="none"/>
        <w:tab w:val="left" w:pos="6480" w:leader="none"/>
      </w:tabs>
      <w:jc w:val="center"/>
    </w:pPr>
    <w:rPr>
      <w:rFonts w:ascii="Times New Roman" w:hAnsi="Times New Roman" w:cs="Times New Roman"/>
      <w:b/>
      <w:smallCaps/>
      <w:spacing w:val="40"/>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2001-06-27T11:38:00Z</dcterms:created>
  <dc:creator>Gerry Cauley</dc:creator>
  <dc:description/>
  <dc:language>en-CA</dc:language>
  <cp:lastModifiedBy>Gerry Cauley</cp:lastModifiedBy>
  <dcterms:modified xsi:type="dcterms:W3CDTF">2001-06-28T22:31:00Z</dcterms:modified>
  <cp:revision>32</cp:revision>
  <dc:subject/>
  <dc:title/>
</cp:coreProperties>
</file>